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9AECCE1" w:rsidR="00E90E49" w:rsidRPr="00CE0424" w:rsidRDefault="00E90E49" w:rsidP="001815AB">
      <w:pPr>
        <w:pStyle w:val="3GPPHeader"/>
        <w:spacing w:after="0"/>
        <w:rPr>
          <w:sz w:val="32"/>
          <w:szCs w:val="32"/>
          <w:highlight w:val="yellow"/>
        </w:rPr>
      </w:pPr>
      <w:r w:rsidRPr="00CE0424">
        <w:t>3GPP TSG-RAN WG</w:t>
      </w:r>
      <w:r w:rsidR="008F1C4E">
        <w:t>1</w:t>
      </w:r>
      <w:r w:rsidRPr="00CE0424">
        <w:t xml:space="preserve"> </w:t>
      </w:r>
      <w:r w:rsidR="008F1C4E">
        <w:t xml:space="preserve">Meeting </w:t>
      </w:r>
      <w:r w:rsidRPr="00CE0424">
        <w:t>#</w:t>
      </w:r>
      <w:r w:rsidR="00A611BC">
        <w:t>11</w:t>
      </w:r>
      <w:r w:rsidR="00DD64D2">
        <w:t>7</w:t>
      </w:r>
      <w:r w:rsidRPr="00CE0424">
        <w:tab/>
      </w:r>
      <w:r w:rsidR="00091557" w:rsidRPr="00CE0424">
        <w:rPr>
          <w:sz w:val="32"/>
          <w:szCs w:val="32"/>
        </w:rPr>
        <w:t>R</w:t>
      </w:r>
      <w:r w:rsidR="008F1C4E">
        <w:rPr>
          <w:sz w:val="32"/>
          <w:szCs w:val="32"/>
        </w:rPr>
        <w:t>1</w:t>
      </w:r>
      <w:r w:rsidR="00091557" w:rsidRPr="00CE0424">
        <w:rPr>
          <w:sz w:val="32"/>
          <w:szCs w:val="32"/>
        </w:rPr>
        <w:t>-</w:t>
      </w:r>
      <w:r w:rsidR="00F26A06" w:rsidRPr="00F26A06">
        <w:t xml:space="preserve"> </w:t>
      </w:r>
      <w:r w:rsidR="00F26A06" w:rsidRPr="00F26A06">
        <w:rPr>
          <w:sz w:val="32"/>
          <w:szCs w:val="32"/>
        </w:rPr>
        <w:t>240391</w:t>
      </w:r>
      <w:r w:rsidR="00F26A06">
        <w:rPr>
          <w:sz w:val="32"/>
          <w:szCs w:val="32"/>
        </w:rPr>
        <w:t>2</w:t>
      </w:r>
    </w:p>
    <w:p w14:paraId="0CE7B7E6" w14:textId="38A4AEF0" w:rsidR="00E90E49" w:rsidRPr="00CE0424" w:rsidRDefault="00DD64D2" w:rsidP="00BE725F">
      <w:pPr>
        <w:pStyle w:val="3GPPHeader"/>
        <w:spacing w:before="240"/>
      </w:pPr>
      <w:r w:rsidRPr="00DD64D2">
        <w:t>Fukuoka</w:t>
      </w:r>
      <w:r w:rsidR="0027144F" w:rsidRPr="00DD64D2">
        <w:t xml:space="preserve">, </w:t>
      </w:r>
      <w:r w:rsidRPr="00DD64D2">
        <w:t>Japan</w:t>
      </w:r>
      <w:r w:rsidR="0027144F" w:rsidRPr="00DD64D2">
        <w:t xml:space="preserve">, </w:t>
      </w:r>
      <w:r w:rsidR="00311702" w:rsidRPr="00DD64D2">
        <w:t>M</w:t>
      </w:r>
      <w:r w:rsidRPr="00DD64D2">
        <w:t>ay</w:t>
      </w:r>
      <w:r w:rsidR="0027144F" w:rsidRPr="00DD64D2">
        <w:t xml:space="preserve"> </w:t>
      </w:r>
      <w:r w:rsidRPr="00DD64D2">
        <w:t>20</w:t>
      </w:r>
      <w:r w:rsidR="001D53E7" w:rsidRPr="00DD64D2">
        <w:rPr>
          <w:vertAlign w:val="superscript"/>
        </w:rPr>
        <w:t>th</w:t>
      </w:r>
      <w:r w:rsidRPr="00DD64D2">
        <w:t xml:space="preserve"> </w:t>
      </w:r>
      <w:r w:rsidR="001D53E7" w:rsidRPr="00DD64D2">
        <w:t xml:space="preserve">– </w:t>
      </w:r>
      <w:r w:rsidRPr="00DD64D2">
        <w:t>24</w:t>
      </w:r>
      <w:r w:rsidR="001D53E7" w:rsidRPr="00DD64D2">
        <w:rPr>
          <w:vertAlign w:val="superscript"/>
        </w:rPr>
        <w:t>th</w:t>
      </w:r>
      <w:r w:rsidRPr="00DD64D2">
        <w:t xml:space="preserve"> </w:t>
      </w:r>
      <w:r w:rsidR="0027144F" w:rsidRPr="00DD64D2">
        <w:t>20</w:t>
      </w:r>
      <w:r w:rsidR="00A611BC" w:rsidRPr="00DD64D2">
        <w:t>2</w:t>
      </w:r>
      <w:r w:rsidRPr="00DD64D2">
        <w:t>4</w:t>
      </w:r>
    </w:p>
    <w:p w14:paraId="3086AC07" w14:textId="77777777" w:rsidR="00E90E49" w:rsidRPr="00CE0424" w:rsidRDefault="00E90E49" w:rsidP="00DB5558">
      <w:pPr>
        <w:pStyle w:val="3GPPHeader"/>
      </w:pPr>
    </w:p>
    <w:p w14:paraId="3982483C" w14:textId="38863309" w:rsidR="00E90E49" w:rsidRPr="005337C7" w:rsidRDefault="00E90E49" w:rsidP="00DB5558">
      <w:pPr>
        <w:pStyle w:val="3GPPHeader"/>
        <w:rPr>
          <w:lang w:val="en-US"/>
        </w:rPr>
      </w:pPr>
      <w:r w:rsidRPr="005337C7">
        <w:rPr>
          <w:lang w:val="en-US"/>
        </w:rPr>
        <w:t>Agenda Item:</w:t>
      </w:r>
      <w:r w:rsidRPr="005337C7">
        <w:rPr>
          <w:lang w:val="en-US"/>
        </w:rPr>
        <w:tab/>
      </w:r>
      <w:r w:rsidR="000A6828" w:rsidRPr="005337C7">
        <w:rPr>
          <w:lang w:val="en-US"/>
        </w:rPr>
        <w:t>9.3.2</w:t>
      </w:r>
    </w:p>
    <w:p w14:paraId="5619E868" w14:textId="77777777" w:rsidR="00E90E49" w:rsidRPr="00CE0424" w:rsidRDefault="003D3C45" w:rsidP="00DB5558">
      <w:pPr>
        <w:pStyle w:val="3GPPHeader"/>
      </w:pPr>
      <w:r>
        <w:t>Source:</w:t>
      </w:r>
      <w:r w:rsidR="00E90E49" w:rsidRPr="00CE0424">
        <w:tab/>
      </w:r>
      <w:r w:rsidR="00F64C2B" w:rsidRPr="00CE0424">
        <w:t>Ericsson</w:t>
      </w:r>
    </w:p>
    <w:p w14:paraId="3AF5C9FA" w14:textId="5FC0FF40" w:rsidR="00E90E49" w:rsidRPr="00CE0424" w:rsidRDefault="003D3C45" w:rsidP="00DB5558">
      <w:pPr>
        <w:pStyle w:val="3GPPHeader"/>
      </w:pPr>
      <w:r>
        <w:t>Title:</w:t>
      </w:r>
      <w:r w:rsidR="00E90E49" w:rsidRPr="00CE0424">
        <w:tab/>
      </w:r>
      <w:r w:rsidR="00DD64D2">
        <w:t xml:space="preserve">SBFD </w:t>
      </w:r>
      <w:r w:rsidR="001E79AE">
        <w:t>random access operation</w:t>
      </w:r>
    </w:p>
    <w:p w14:paraId="025260C1" w14:textId="77777777" w:rsidR="00E90E49" w:rsidRPr="00CE0424" w:rsidRDefault="00E90E49" w:rsidP="00DB5558">
      <w:pPr>
        <w:pStyle w:val="3GPPHeader"/>
      </w:pPr>
      <w:r w:rsidRPr="00CE0424">
        <w:t>Document for:</w:t>
      </w:r>
      <w:r w:rsidRPr="00CE0424">
        <w:tab/>
      </w:r>
      <w:r w:rsidRPr="00DD64D2">
        <w:t>Discussion, Decision</w:t>
      </w:r>
    </w:p>
    <w:p w14:paraId="2D5672ED" w14:textId="77777777" w:rsidR="00E90E49" w:rsidRPr="00CE0424" w:rsidRDefault="00E90E49" w:rsidP="00DB5558"/>
    <w:p w14:paraId="6883CB62" w14:textId="33436E6E" w:rsidR="00E90E49" w:rsidRPr="00CE0424" w:rsidRDefault="00E90E49" w:rsidP="00AC22FB">
      <w:pPr>
        <w:pStyle w:val="Heading1"/>
      </w:pPr>
      <w:r w:rsidRPr="00CE0424">
        <w:t>Introduction</w:t>
      </w:r>
    </w:p>
    <w:p w14:paraId="231E64EA" w14:textId="1C2F783D" w:rsidR="00477768" w:rsidRPr="00CE0424" w:rsidRDefault="009425BE" w:rsidP="009425BE">
      <w:pPr>
        <w:tabs>
          <w:tab w:val="left" w:pos="720"/>
          <w:tab w:val="left" w:pos="1440"/>
        </w:tabs>
        <w:overflowPunct w:val="0"/>
        <w:autoSpaceDE w:val="0"/>
        <w:autoSpaceDN w:val="0"/>
        <w:adjustRightInd w:val="0"/>
        <w:spacing w:after="180" w:line="240" w:lineRule="auto"/>
        <w:textAlignment w:val="baseline"/>
      </w:pPr>
      <w:r>
        <w:t xml:space="preserve">3GPP has agreed to specify </w:t>
      </w:r>
      <w:r w:rsidRPr="001D07EF">
        <w:rPr>
          <w:lang w:eastAsia="zh-CN"/>
        </w:rPr>
        <w:t>SBFD operation to support random access in SBFD symbols by UEs in RRC CONNECTED mode</w:t>
      </w:r>
      <w:r>
        <w:rPr>
          <w:lang w:eastAsia="zh-CN"/>
        </w:rPr>
        <w:t>, and to s</w:t>
      </w:r>
      <w:r w:rsidRPr="003E0D9F">
        <w:rPr>
          <w:lang w:eastAsia="zh-CN"/>
        </w:rPr>
        <w:t>tudy and specify, if justified, SBFD operation to UE in RRC_IDLE/INACTIVE mode for random access</w:t>
      </w:r>
      <w:r>
        <w:rPr>
          <w:lang w:eastAsia="zh-CN"/>
        </w:rPr>
        <w:t> </w:t>
      </w:r>
      <w:r>
        <w:rPr>
          <w:lang w:eastAsia="zh-CN"/>
        </w:rPr>
        <w:fldChar w:fldCharType="begin"/>
      </w:r>
      <w:r>
        <w:rPr>
          <w:lang w:eastAsia="zh-CN"/>
        </w:rPr>
        <w:instrText xml:space="preserve"> REF _Ref162426361 \r \h </w:instrText>
      </w:r>
      <w:r>
        <w:rPr>
          <w:lang w:eastAsia="zh-CN"/>
        </w:rPr>
      </w:r>
      <w:r>
        <w:rPr>
          <w:lang w:eastAsia="zh-CN"/>
        </w:rPr>
        <w:fldChar w:fldCharType="separate"/>
      </w:r>
      <w:r w:rsidR="00560801">
        <w:rPr>
          <w:lang w:eastAsia="zh-CN"/>
        </w:rPr>
        <w:t>[1]</w:t>
      </w:r>
      <w:r>
        <w:rPr>
          <w:lang w:eastAsia="zh-CN"/>
        </w:rPr>
        <w:fldChar w:fldCharType="end"/>
      </w:r>
      <w:r>
        <w:rPr>
          <w:lang w:eastAsia="zh-CN"/>
        </w:rPr>
        <w:t>. In this contribution, we discuss our further views on these matters.</w:t>
      </w:r>
    </w:p>
    <w:p w14:paraId="60123794" w14:textId="6825F9D3" w:rsidR="004000E8" w:rsidRPr="00CE0424" w:rsidRDefault="004000E8" w:rsidP="00CE0424">
      <w:pPr>
        <w:pStyle w:val="Heading1"/>
      </w:pPr>
      <w:bookmarkStart w:id="0" w:name="_Ref178064866"/>
      <w:r w:rsidRPr="00CE0424">
        <w:t>Discussion</w:t>
      </w:r>
      <w:bookmarkEnd w:id="0"/>
    </w:p>
    <w:p w14:paraId="35EB090D" w14:textId="14CBCF1D" w:rsidR="00F63950" w:rsidRDefault="003F686D" w:rsidP="00F63950">
      <w:pPr>
        <w:pStyle w:val="Heading2"/>
      </w:pPr>
      <w:r>
        <w:t xml:space="preserve">RACH </w:t>
      </w:r>
      <w:r w:rsidR="001459D3">
        <w:t xml:space="preserve">operation </w:t>
      </w:r>
      <w:r>
        <w:t>in RRC_CONNECTED</w:t>
      </w:r>
    </w:p>
    <w:p w14:paraId="57EA8959" w14:textId="69A9DA88" w:rsidR="00A144DE" w:rsidRPr="00A144DE" w:rsidRDefault="00A144DE" w:rsidP="00A144DE">
      <w:r>
        <w:t>In RAN1 #116-bis, RAN1 discussed how to extend random access (RA) to SBFD symbols and agreed to the following working assumption </w:t>
      </w:r>
      <w:r>
        <w:fldChar w:fldCharType="begin"/>
      </w:r>
      <w:r>
        <w:instrText xml:space="preserve"> REF _Ref166054602 \r \h </w:instrText>
      </w:r>
      <w:r>
        <w:fldChar w:fldCharType="separate"/>
      </w:r>
      <w:r w:rsidR="00560801">
        <w:t>[2]</w:t>
      </w:r>
      <w:r>
        <w:fldChar w:fldCharType="end"/>
      </w:r>
      <w:r>
        <w:t>:</w:t>
      </w:r>
    </w:p>
    <w:tbl>
      <w:tblPr>
        <w:tblStyle w:val="TableGrid"/>
        <w:tblW w:w="0" w:type="auto"/>
        <w:tblLook w:val="04A0" w:firstRow="1" w:lastRow="0" w:firstColumn="1" w:lastColumn="0" w:noHBand="0" w:noVBand="1"/>
      </w:tblPr>
      <w:tblGrid>
        <w:gridCol w:w="9629"/>
      </w:tblGrid>
      <w:tr w:rsidR="002A04F3" w14:paraId="775C38DC" w14:textId="77777777" w:rsidTr="002A04F3">
        <w:tc>
          <w:tcPr>
            <w:tcW w:w="9855" w:type="dxa"/>
          </w:tcPr>
          <w:p w14:paraId="761DB46F" w14:textId="77777777" w:rsidR="002A04F3" w:rsidRPr="002A04F3" w:rsidRDefault="002A04F3" w:rsidP="002A04F3">
            <w:pPr>
              <w:spacing w:before="240"/>
              <w:rPr>
                <w:b/>
                <w:bCs/>
                <w:iCs/>
                <w:sz w:val="20"/>
                <w:szCs w:val="20"/>
                <w:highlight w:val="darkYellow"/>
              </w:rPr>
            </w:pPr>
            <w:r w:rsidRPr="002A04F3">
              <w:rPr>
                <w:b/>
                <w:bCs/>
                <w:iCs/>
                <w:sz w:val="20"/>
                <w:szCs w:val="20"/>
                <w:highlight w:val="darkYellow"/>
              </w:rPr>
              <w:t xml:space="preserve">Working </w:t>
            </w:r>
            <w:proofErr w:type="spellStart"/>
            <w:r w:rsidRPr="002A04F3">
              <w:rPr>
                <w:b/>
                <w:bCs/>
                <w:iCs/>
                <w:sz w:val="20"/>
                <w:szCs w:val="20"/>
                <w:highlight w:val="darkYellow"/>
              </w:rPr>
              <w:t>Assumption</w:t>
            </w:r>
            <w:proofErr w:type="spellEnd"/>
          </w:p>
          <w:p w14:paraId="6C9FFA3C" w14:textId="77777777" w:rsidR="002A04F3" w:rsidRPr="002A04F3" w:rsidRDefault="002A04F3" w:rsidP="002A04F3">
            <w:pPr>
              <w:rPr>
                <w:sz w:val="20"/>
                <w:szCs w:val="20"/>
              </w:rPr>
            </w:pPr>
            <w:proofErr w:type="spellStart"/>
            <w:r w:rsidRPr="002A04F3">
              <w:rPr>
                <w:sz w:val="20"/>
                <w:szCs w:val="20"/>
              </w:rPr>
              <w:t>For</w:t>
            </w:r>
            <w:proofErr w:type="spellEnd"/>
            <w:r w:rsidRPr="002A04F3">
              <w:rPr>
                <w:sz w:val="20"/>
                <w:szCs w:val="20"/>
              </w:rPr>
              <w:t xml:space="preserve"> SBFD-aware UEs in RRC CONNECTED </w:t>
            </w:r>
            <w:proofErr w:type="spellStart"/>
            <w:r w:rsidRPr="002A04F3">
              <w:rPr>
                <w:sz w:val="20"/>
                <w:szCs w:val="20"/>
              </w:rPr>
              <w:t>state</w:t>
            </w:r>
            <w:proofErr w:type="spellEnd"/>
            <w:r w:rsidRPr="002A04F3">
              <w:rPr>
                <w:sz w:val="20"/>
                <w:szCs w:val="20"/>
              </w:rPr>
              <w:t xml:space="preserve">, </w:t>
            </w:r>
            <w:proofErr w:type="spellStart"/>
            <w:r w:rsidRPr="002A04F3">
              <w:rPr>
                <w:sz w:val="20"/>
                <w:szCs w:val="20"/>
              </w:rPr>
              <w:t>both</w:t>
            </w:r>
            <w:proofErr w:type="spellEnd"/>
            <w:r w:rsidRPr="002A04F3">
              <w:rPr>
                <w:sz w:val="20"/>
                <w:szCs w:val="20"/>
              </w:rPr>
              <w:t xml:space="preserve"> RACH </w:t>
            </w:r>
            <w:proofErr w:type="spellStart"/>
            <w:r w:rsidRPr="002A04F3">
              <w:rPr>
                <w:sz w:val="20"/>
                <w:szCs w:val="20"/>
              </w:rPr>
              <w:t>configuration</w:t>
            </w:r>
            <w:proofErr w:type="spellEnd"/>
            <w:r w:rsidRPr="002A04F3">
              <w:rPr>
                <w:sz w:val="20"/>
                <w:szCs w:val="20"/>
              </w:rPr>
              <w:t xml:space="preserve"> Option 1 </w:t>
            </w:r>
            <w:proofErr w:type="spellStart"/>
            <w:r w:rsidRPr="002A04F3">
              <w:rPr>
                <w:sz w:val="20"/>
                <w:szCs w:val="20"/>
              </w:rPr>
              <w:t>with</w:t>
            </w:r>
            <w:proofErr w:type="spellEnd"/>
            <w:r w:rsidRPr="002A04F3">
              <w:rPr>
                <w:sz w:val="20"/>
                <w:szCs w:val="20"/>
              </w:rPr>
              <w:t xml:space="preserve"> Alt 1-1 (i.e., </w:t>
            </w:r>
            <w:proofErr w:type="spellStart"/>
            <w:r w:rsidRPr="002A04F3">
              <w:rPr>
                <w:sz w:val="20"/>
                <w:szCs w:val="20"/>
              </w:rPr>
              <w:t>use</w:t>
            </w:r>
            <w:proofErr w:type="spellEnd"/>
            <w:r w:rsidRPr="002A04F3">
              <w:rPr>
                <w:sz w:val="20"/>
                <w:szCs w:val="20"/>
              </w:rPr>
              <w:t xml:space="preserve"> </w:t>
            </w:r>
            <w:proofErr w:type="spellStart"/>
            <w:r w:rsidRPr="002A04F3">
              <w:rPr>
                <w:sz w:val="20"/>
                <w:szCs w:val="20"/>
              </w:rPr>
              <w:t>one</w:t>
            </w:r>
            <w:proofErr w:type="spellEnd"/>
            <w:r w:rsidRPr="002A04F3">
              <w:rPr>
                <w:sz w:val="20"/>
                <w:szCs w:val="20"/>
              </w:rPr>
              <w:t xml:space="preserve"> </w:t>
            </w:r>
            <w:proofErr w:type="spellStart"/>
            <w:r w:rsidRPr="002A04F3">
              <w:rPr>
                <w:sz w:val="20"/>
                <w:szCs w:val="20"/>
              </w:rPr>
              <w:t>single</w:t>
            </w:r>
            <w:proofErr w:type="spellEnd"/>
            <w:r w:rsidRPr="002A04F3">
              <w:rPr>
                <w:sz w:val="20"/>
                <w:szCs w:val="20"/>
              </w:rPr>
              <w:t xml:space="preserve"> RACH </w:t>
            </w:r>
            <w:proofErr w:type="spellStart"/>
            <w:r w:rsidRPr="002A04F3">
              <w:rPr>
                <w:sz w:val="20"/>
                <w:szCs w:val="20"/>
              </w:rPr>
              <w:t>configuration</w:t>
            </w:r>
            <w:proofErr w:type="spellEnd"/>
            <w:r w:rsidRPr="002A04F3">
              <w:rPr>
                <w:sz w:val="20"/>
                <w:szCs w:val="20"/>
              </w:rPr>
              <w:t xml:space="preserve">, and </w:t>
            </w:r>
            <w:proofErr w:type="spellStart"/>
            <w:r w:rsidRPr="002A04F3">
              <w:rPr>
                <w:sz w:val="20"/>
                <w:szCs w:val="20"/>
              </w:rPr>
              <w:t>only</w:t>
            </w:r>
            <w:proofErr w:type="spellEnd"/>
            <w:r w:rsidRPr="002A04F3">
              <w:rPr>
                <w:sz w:val="20"/>
                <w:szCs w:val="20"/>
              </w:rPr>
              <w:t xml:space="preserve"> </w:t>
            </w:r>
            <w:proofErr w:type="spellStart"/>
            <w:r w:rsidRPr="002A04F3">
              <w:rPr>
                <w:sz w:val="20"/>
                <w:szCs w:val="20"/>
              </w:rPr>
              <w:t>based</w:t>
            </w:r>
            <w:proofErr w:type="spellEnd"/>
            <w:r w:rsidRPr="002A04F3">
              <w:rPr>
                <w:sz w:val="20"/>
                <w:szCs w:val="20"/>
              </w:rPr>
              <w:t xml:space="preserve"> on </w:t>
            </w:r>
            <w:proofErr w:type="spellStart"/>
            <w:r w:rsidRPr="002A04F3">
              <w:rPr>
                <w:sz w:val="20"/>
                <w:szCs w:val="20"/>
              </w:rPr>
              <w:t>the</w:t>
            </w:r>
            <w:proofErr w:type="spellEnd"/>
            <w:r w:rsidRPr="002A04F3">
              <w:rPr>
                <w:sz w:val="20"/>
                <w:szCs w:val="20"/>
              </w:rPr>
              <w:t xml:space="preserve"> </w:t>
            </w:r>
            <w:proofErr w:type="spellStart"/>
            <w:r w:rsidRPr="002A04F3">
              <w:rPr>
                <w:sz w:val="20"/>
                <w:szCs w:val="20"/>
              </w:rPr>
              <w:t>existing</w:t>
            </w:r>
            <w:proofErr w:type="spellEnd"/>
            <w:r w:rsidRPr="002A04F3">
              <w:rPr>
                <w:sz w:val="20"/>
                <w:szCs w:val="20"/>
              </w:rPr>
              <w:t xml:space="preserve"> </w:t>
            </w:r>
            <w:proofErr w:type="spellStart"/>
            <w:r w:rsidRPr="002A04F3">
              <w:rPr>
                <w:sz w:val="20"/>
                <w:szCs w:val="20"/>
              </w:rPr>
              <w:t>parameters</w:t>
            </w:r>
            <w:proofErr w:type="spellEnd"/>
            <w:r w:rsidRPr="002A04F3">
              <w:rPr>
                <w:sz w:val="20"/>
                <w:szCs w:val="20"/>
              </w:rPr>
              <w:t xml:space="preserve"> </w:t>
            </w:r>
            <w:proofErr w:type="spellStart"/>
            <w:r w:rsidRPr="002A04F3">
              <w:rPr>
                <w:sz w:val="20"/>
                <w:szCs w:val="20"/>
              </w:rPr>
              <w:t>of</w:t>
            </w:r>
            <w:proofErr w:type="spellEnd"/>
            <w:r w:rsidRPr="002A04F3">
              <w:rPr>
                <w:sz w:val="20"/>
                <w:szCs w:val="20"/>
              </w:rPr>
              <w:t xml:space="preserve"> </w:t>
            </w:r>
            <w:proofErr w:type="spellStart"/>
            <w:r w:rsidRPr="002A04F3">
              <w:rPr>
                <w:sz w:val="20"/>
                <w:szCs w:val="20"/>
              </w:rPr>
              <w:t>the</w:t>
            </w:r>
            <w:proofErr w:type="spellEnd"/>
            <w:r w:rsidRPr="002A04F3">
              <w:rPr>
                <w:sz w:val="20"/>
                <w:szCs w:val="20"/>
              </w:rPr>
              <w:t xml:space="preserve"> </w:t>
            </w:r>
            <w:proofErr w:type="spellStart"/>
            <w:r w:rsidRPr="002A04F3">
              <w:rPr>
                <w:sz w:val="20"/>
                <w:szCs w:val="20"/>
              </w:rPr>
              <w:t>single</w:t>
            </w:r>
            <w:proofErr w:type="spellEnd"/>
            <w:r w:rsidRPr="002A04F3">
              <w:rPr>
                <w:sz w:val="20"/>
                <w:szCs w:val="20"/>
              </w:rPr>
              <w:t xml:space="preserve"> RACH </w:t>
            </w:r>
            <w:proofErr w:type="spellStart"/>
            <w:r w:rsidRPr="002A04F3">
              <w:rPr>
                <w:sz w:val="20"/>
                <w:szCs w:val="20"/>
              </w:rPr>
              <w:t>configuration</w:t>
            </w:r>
            <w:proofErr w:type="spellEnd"/>
            <w:r w:rsidRPr="002A04F3">
              <w:rPr>
                <w:sz w:val="20"/>
                <w:szCs w:val="20"/>
              </w:rPr>
              <w:t xml:space="preserve">) and RACH </w:t>
            </w:r>
            <w:proofErr w:type="spellStart"/>
            <w:r w:rsidRPr="002A04F3">
              <w:rPr>
                <w:sz w:val="20"/>
                <w:szCs w:val="20"/>
              </w:rPr>
              <w:t>configuration</w:t>
            </w:r>
            <w:proofErr w:type="spellEnd"/>
            <w:r w:rsidRPr="002A04F3">
              <w:rPr>
                <w:sz w:val="20"/>
                <w:szCs w:val="20"/>
              </w:rPr>
              <w:t xml:space="preserve"> Option 2 (i.e., Use </w:t>
            </w:r>
            <w:proofErr w:type="spellStart"/>
            <w:r w:rsidRPr="002A04F3">
              <w:rPr>
                <w:sz w:val="20"/>
                <w:szCs w:val="20"/>
              </w:rPr>
              <w:t>two</w:t>
            </w:r>
            <w:proofErr w:type="spellEnd"/>
            <w:r w:rsidRPr="002A04F3">
              <w:rPr>
                <w:sz w:val="20"/>
                <w:szCs w:val="20"/>
              </w:rPr>
              <w:t xml:space="preserve"> separate RACH </w:t>
            </w:r>
            <w:proofErr w:type="spellStart"/>
            <w:r w:rsidRPr="002A04F3">
              <w:rPr>
                <w:sz w:val="20"/>
                <w:szCs w:val="20"/>
              </w:rPr>
              <w:t>configurations</w:t>
            </w:r>
            <w:proofErr w:type="spellEnd"/>
            <w:r w:rsidRPr="002A04F3">
              <w:rPr>
                <w:sz w:val="20"/>
                <w:szCs w:val="20"/>
              </w:rPr>
              <w:t xml:space="preserve">, </w:t>
            </w:r>
            <w:proofErr w:type="spellStart"/>
            <w:r w:rsidRPr="002A04F3">
              <w:rPr>
                <w:sz w:val="20"/>
                <w:szCs w:val="20"/>
              </w:rPr>
              <w:t>including</w:t>
            </w:r>
            <w:proofErr w:type="spellEnd"/>
            <w:r w:rsidRPr="002A04F3">
              <w:rPr>
                <w:sz w:val="20"/>
                <w:szCs w:val="20"/>
              </w:rPr>
              <w:t xml:space="preserve"> </w:t>
            </w:r>
            <w:proofErr w:type="spellStart"/>
            <w:r w:rsidRPr="002A04F3">
              <w:rPr>
                <w:sz w:val="20"/>
                <w:szCs w:val="20"/>
              </w:rPr>
              <w:t>one</w:t>
            </w:r>
            <w:proofErr w:type="spellEnd"/>
            <w:r w:rsidRPr="002A04F3">
              <w:rPr>
                <w:sz w:val="20"/>
                <w:szCs w:val="20"/>
              </w:rPr>
              <w:t xml:space="preserve"> </w:t>
            </w:r>
            <w:proofErr w:type="spellStart"/>
            <w:r w:rsidRPr="002A04F3">
              <w:rPr>
                <w:sz w:val="20"/>
                <w:szCs w:val="20"/>
              </w:rPr>
              <w:t>legacy</w:t>
            </w:r>
            <w:proofErr w:type="spellEnd"/>
            <w:r w:rsidRPr="002A04F3">
              <w:rPr>
                <w:sz w:val="20"/>
                <w:szCs w:val="20"/>
              </w:rPr>
              <w:t xml:space="preserve"> RACH </w:t>
            </w:r>
            <w:proofErr w:type="spellStart"/>
            <w:r w:rsidRPr="002A04F3">
              <w:rPr>
                <w:sz w:val="20"/>
                <w:szCs w:val="20"/>
              </w:rPr>
              <w:t>configuration</w:t>
            </w:r>
            <w:proofErr w:type="spellEnd"/>
            <w:r w:rsidRPr="002A04F3">
              <w:rPr>
                <w:sz w:val="20"/>
                <w:szCs w:val="20"/>
              </w:rPr>
              <w:t xml:space="preserve"> and </w:t>
            </w:r>
            <w:proofErr w:type="spellStart"/>
            <w:r w:rsidRPr="002A04F3">
              <w:rPr>
                <w:sz w:val="20"/>
                <w:szCs w:val="20"/>
              </w:rPr>
              <w:t>one</w:t>
            </w:r>
            <w:proofErr w:type="spellEnd"/>
            <w:r w:rsidRPr="002A04F3">
              <w:rPr>
                <w:sz w:val="20"/>
                <w:szCs w:val="20"/>
              </w:rPr>
              <w:t xml:space="preserve"> additional RACH </w:t>
            </w:r>
            <w:proofErr w:type="spellStart"/>
            <w:r w:rsidRPr="002A04F3">
              <w:rPr>
                <w:sz w:val="20"/>
                <w:szCs w:val="20"/>
              </w:rPr>
              <w:t>configuration</w:t>
            </w:r>
            <w:proofErr w:type="spellEnd"/>
            <w:r w:rsidRPr="002A04F3">
              <w:rPr>
                <w:sz w:val="20"/>
                <w:szCs w:val="20"/>
              </w:rPr>
              <w:t xml:space="preserve">) </w:t>
            </w:r>
            <w:proofErr w:type="spellStart"/>
            <w:r w:rsidRPr="002A04F3">
              <w:rPr>
                <w:sz w:val="20"/>
                <w:szCs w:val="20"/>
              </w:rPr>
              <w:t>are</w:t>
            </w:r>
            <w:proofErr w:type="spellEnd"/>
            <w:r w:rsidRPr="002A04F3">
              <w:rPr>
                <w:sz w:val="20"/>
                <w:szCs w:val="20"/>
              </w:rPr>
              <w:t xml:space="preserve"> </w:t>
            </w:r>
            <w:proofErr w:type="spellStart"/>
            <w:r w:rsidRPr="002A04F3">
              <w:rPr>
                <w:sz w:val="20"/>
                <w:szCs w:val="20"/>
              </w:rPr>
              <w:t>supported</w:t>
            </w:r>
            <w:proofErr w:type="spellEnd"/>
            <w:r w:rsidRPr="002A04F3">
              <w:rPr>
                <w:sz w:val="20"/>
                <w:szCs w:val="20"/>
              </w:rPr>
              <w:t xml:space="preserve">. </w:t>
            </w:r>
            <w:proofErr w:type="spellStart"/>
            <w:r w:rsidRPr="002A04F3">
              <w:rPr>
                <w:sz w:val="20"/>
                <w:szCs w:val="20"/>
              </w:rPr>
              <w:t>Enabling</w:t>
            </w:r>
            <w:proofErr w:type="spellEnd"/>
            <w:r w:rsidRPr="002A04F3">
              <w:rPr>
                <w:sz w:val="20"/>
                <w:szCs w:val="20"/>
              </w:rPr>
              <w:t xml:space="preserve"> </w:t>
            </w:r>
            <w:proofErr w:type="spellStart"/>
            <w:r w:rsidRPr="002A04F3">
              <w:rPr>
                <w:sz w:val="20"/>
                <w:szCs w:val="20"/>
              </w:rPr>
              <w:t>both</w:t>
            </w:r>
            <w:proofErr w:type="spellEnd"/>
            <w:r w:rsidRPr="002A04F3">
              <w:rPr>
                <w:sz w:val="20"/>
                <w:szCs w:val="20"/>
              </w:rPr>
              <w:t xml:space="preserve"> </w:t>
            </w:r>
            <w:proofErr w:type="spellStart"/>
            <w:r w:rsidRPr="002A04F3">
              <w:rPr>
                <w:sz w:val="20"/>
                <w:szCs w:val="20"/>
              </w:rPr>
              <w:t>options</w:t>
            </w:r>
            <w:proofErr w:type="spellEnd"/>
            <w:r w:rsidRPr="002A04F3">
              <w:rPr>
                <w:sz w:val="20"/>
                <w:szCs w:val="20"/>
              </w:rPr>
              <w:t xml:space="preserve"> at </w:t>
            </w:r>
            <w:proofErr w:type="spellStart"/>
            <w:r w:rsidRPr="002A04F3">
              <w:rPr>
                <w:sz w:val="20"/>
                <w:szCs w:val="20"/>
              </w:rPr>
              <w:t>the</w:t>
            </w:r>
            <w:proofErr w:type="spellEnd"/>
            <w:r w:rsidRPr="002A04F3">
              <w:rPr>
                <w:sz w:val="20"/>
                <w:szCs w:val="20"/>
              </w:rPr>
              <w:t xml:space="preserve"> same time </w:t>
            </w:r>
            <w:proofErr w:type="spellStart"/>
            <w:r w:rsidRPr="002A04F3">
              <w:rPr>
                <w:sz w:val="20"/>
                <w:szCs w:val="20"/>
              </w:rPr>
              <w:t>for</w:t>
            </w:r>
            <w:proofErr w:type="spellEnd"/>
            <w:r w:rsidRPr="002A04F3">
              <w:rPr>
                <w:sz w:val="20"/>
                <w:szCs w:val="20"/>
              </w:rPr>
              <w:t xml:space="preserve"> a UE </w:t>
            </w:r>
            <w:proofErr w:type="spellStart"/>
            <w:r w:rsidRPr="002A04F3">
              <w:rPr>
                <w:sz w:val="20"/>
                <w:szCs w:val="20"/>
              </w:rPr>
              <w:t>is</w:t>
            </w:r>
            <w:proofErr w:type="spellEnd"/>
            <w:r w:rsidRPr="002A04F3">
              <w:rPr>
                <w:sz w:val="20"/>
                <w:szCs w:val="20"/>
              </w:rPr>
              <w:t xml:space="preserve"> not </w:t>
            </w:r>
            <w:proofErr w:type="spellStart"/>
            <w:r w:rsidRPr="002A04F3">
              <w:rPr>
                <w:sz w:val="20"/>
                <w:szCs w:val="20"/>
              </w:rPr>
              <w:t>supported</w:t>
            </w:r>
            <w:proofErr w:type="spellEnd"/>
            <w:r w:rsidRPr="002A04F3">
              <w:rPr>
                <w:sz w:val="20"/>
                <w:szCs w:val="20"/>
              </w:rPr>
              <w:t>.</w:t>
            </w:r>
          </w:p>
          <w:p w14:paraId="504FD000" w14:textId="77777777" w:rsidR="002A04F3" w:rsidRPr="002A04F3" w:rsidRDefault="002A04F3" w:rsidP="002A04F3">
            <w:pPr>
              <w:pStyle w:val="ListParagraph"/>
              <w:numPr>
                <w:ilvl w:val="0"/>
                <w:numId w:val="28"/>
              </w:numPr>
              <w:spacing w:line="240" w:lineRule="auto"/>
              <w:jc w:val="left"/>
              <w:rPr>
                <w:sz w:val="20"/>
                <w:szCs w:val="20"/>
                <w:lang w:val="en-US"/>
              </w:rPr>
            </w:pPr>
            <w:r w:rsidRPr="002A04F3">
              <w:rPr>
                <w:sz w:val="20"/>
                <w:szCs w:val="20"/>
                <w:lang w:val="en-US"/>
              </w:rPr>
              <w:t xml:space="preserve">For Option 1 with Alt 1-1, FFS whether/how to reinterpret </w:t>
            </w:r>
            <w:r w:rsidRPr="002A04F3">
              <w:rPr>
                <w:i/>
                <w:iCs/>
                <w:sz w:val="20"/>
                <w:szCs w:val="20"/>
                <w:lang w:val="en-US"/>
              </w:rPr>
              <w:t>msg1-FrequencyStart</w:t>
            </w:r>
            <w:r w:rsidRPr="002A04F3">
              <w:rPr>
                <w:sz w:val="20"/>
                <w:szCs w:val="20"/>
                <w:lang w:val="en-US"/>
              </w:rPr>
              <w:t xml:space="preserve"> in </w:t>
            </w:r>
            <w:proofErr w:type="spellStart"/>
            <w:r w:rsidRPr="002A04F3">
              <w:rPr>
                <w:i/>
                <w:iCs/>
                <w:sz w:val="20"/>
                <w:szCs w:val="20"/>
                <w:lang w:val="en-US"/>
              </w:rPr>
              <w:t>rach-ConfigCommon</w:t>
            </w:r>
            <w:proofErr w:type="spellEnd"/>
            <w:r w:rsidRPr="002A04F3">
              <w:rPr>
                <w:i/>
                <w:iCs/>
                <w:sz w:val="20"/>
                <w:szCs w:val="20"/>
                <w:lang w:val="en-US"/>
              </w:rPr>
              <w:t>,</w:t>
            </w:r>
            <w:r w:rsidRPr="002A04F3">
              <w:rPr>
                <w:sz w:val="20"/>
                <w:szCs w:val="20"/>
                <w:lang w:val="en-US"/>
              </w:rPr>
              <w:t xml:space="preserve"> RO validation rules and SSB-RO mapping rules, etc.</w:t>
            </w:r>
          </w:p>
          <w:p w14:paraId="20EB61C0" w14:textId="77777777" w:rsidR="002A04F3" w:rsidRPr="002A04F3" w:rsidRDefault="002A04F3" w:rsidP="002A04F3">
            <w:pPr>
              <w:pStyle w:val="ListParagraph"/>
              <w:numPr>
                <w:ilvl w:val="0"/>
                <w:numId w:val="28"/>
              </w:numPr>
              <w:spacing w:line="240" w:lineRule="auto"/>
              <w:jc w:val="left"/>
              <w:rPr>
                <w:sz w:val="20"/>
                <w:szCs w:val="20"/>
                <w:lang w:val="en-US"/>
              </w:rPr>
            </w:pPr>
            <w:r w:rsidRPr="002A04F3">
              <w:rPr>
                <w:sz w:val="20"/>
                <w:szCs w:val="20"/>
                <w:lang w:val="en-US"/>
              </w:rPr>
              <w:t>For Option 2, FFS the RO validation rules, SSB-RO mapping rules, whether all the parameters currently in</w:t>
            </w:r>
            <w:r w:rsidRPr="002A04F3">
              <w:rPr>
                <w:i/>
                <w:iCs/>
                <w:sz w:val="20"/>
                <w:szCs w:val="20"/>
                <w:lang w:val="en-US"/>
              </w:rPr>
              <w:t xml:space="preserve"> </w:t>
            </w:r>
            <w:proofErr w:type="spellStart"/>
            <w:r w:rsidRPr="002A04F3">
              <w:rPr>
                <w:i/>
                <w:iCs/>
                <w:sz w:val="20"/>
                <w:szCs w:val="20"/>
                <w:lang w:val="en-US"/>
              </w:rPr>
              <w:t>rach-ConfigCommon</w:t>
            </w:r>
            <w:proofErr w:type="spellEnd"/>
            <w:r w:rsidRPr="002A04F3">
              <w:rPr>
                <w:sz w:val="20"/>
                <w:szCs w:val="20"/>
                <w:lang w:val="en-US"/>
              </w:rPr>
              <w:t xml:space="preserve"> are necessary to be included in the additional RACH configuration, etc.</w:t>
            </w:r>
          </w:p>
          <w:p w14:paraId="53441EBE" w14:textId="1C85C85D" w:rsidR="002A04F3" w:rsidRPr="002A04F3" w:rsidRDefault="002A04F3" w:rsidP="002A04F3">
            <w:pPr>
              <w:rPr>
                <w:iCs/>
                <w:lang w:val="en-US"/>
              </w:rPr>
            </w:pPr>
            <w:r w:rsidRPr="002A04F3">
              <w:rPr>
                <w:iCs/>
                <w:sz w:val="20"/>
                <w:szCs w:val="20"/>
                <w:lang w:val="en-US"/>
              </w:rPr>
              <w:t>UE is not required to support both options.</w:t>
            </w:r>
          </w:p>
        </w:tc>
      </w:tr>
    </w:tbl>
    <w:p w14:paraId="60CDAC12" w14:textId="77777777" w:rsidR="002A04F3" w:rsidRPr="002A04F3" w:rsidRDefault="002A04F3" w:rsidP="002A04F3"/>
    <w:p w14:paraId="0EE87BDB" w14:textId="06605917" w:rsidR="003363BF" w:rsidRDefault="003363BF" w:rsidP="003363BF">
      <w:r>
        <w:t xml:space="preserve">In the previous discussions on SBFD random access (RA) </w:t>
      </w:r>
      <w:r w:rsidR="00962C45">
        <w:t>different</w:t>
      </w:r>
      <w:r>
        <w:t xml:space="preserve"> companies ha</w:t>
      </w:r>
      <w:r w:rsidR="00962C45">
        <w:t>d</w:t>
      </w:r>
      <w:r>
        <w:t xml:space="preserve"> different objectives with SBFD RA. The two main objectives are</w:t>
      </w:r>
      <w:r w:rsidR="007E7D7F">
        <w:t>:</w:t>
      </w:r>
    </w:p>
    <w:p w14:paraId="58883FDA" w14:textId="70FA3B46" w:rsidR="003363BF" w:rsidRPr="003363BF" w:rsidRDefault="003363BF" w:rsidP="003363BF">
      <w:pPr>
        <w:pStyle w:val="ListParagraph"/>
        <w:numPr>
          <w:ilvl w:val="0"/>
          <w:numId w:val="26"/>
        </w:numPr>
      </w:pPr>
      <w:r>
        <w:rPr>
          <w:lang w:val="en-US"/>
        </w:rPr>
        <w:t>Increase PRACH capacity by increasing the number of RACH occasions (ROs) that a SBFD aware UE can use, thereby potentially also decreasing PRACH latency, presumably useful for industrial and enterprise deployments, and</w:t>
      </w:r>
    </w:p>
    <w:p w14:paraId="5264EA09" w14:textId="50897355" w:rsidR="003363BF" w:rsidRPr="003363BF" w:rsidRDefault="003363BF" w:rsidP="003363BF">
      <w:pPr>
        <w:pStyle w:val="ListParagraph"/>
        <w:numPr>
          <w:ilvl w:val="0"/>
          <w:numId w:val="26"/>
        </w:numPr>
      </w:pPr>
      <w:r>
        <w:rPr>
          <w:lang w:val="en-US"/>
        </w:rPr>
        <w:lastRenderedPageBreak/>
        <w:t xml:space="preserve">Increase PRACH coverage and range by allowing a longer PRACH preamble format, intended for </w:t>
      </w:r>
      <w:r w:rsidR="007E7D7F">
        <w:rPr>
          <w:lang w:val="en-US"/>
        </w:rPr>
        <w:t xml:space="preserve">longer range </w:t>
      </w:r>
      <w:r>
        <w:rPr>
          <w:lang w:val="en-US"/>
        </w:rPr>
        <w:t>outdoor deployments.</w:t>
      </w:r>
    </w:p>
    <w:p w14:paraId="0753BAD1" w14:textId="4BA691BF" w:rsidR="003363BF" w:rsidRPr="003363BF" w:rsidRDefault="003363BF" w:rsidP="003363BF">
      <w:pPr>
        <w:spacing w:before="240"/>
      </w:pPr>
      <w:r>
        <w:t xml:space="preserve">The two objectives are quite different in nature and, depending on the scenario, a certain UE-type is not expected to support both. Depending on the UE type, e.g., </w:t>
      </w:r>
      <w:proofErr w:type="spellStart"/>
      <w:r w:rsidR="002D1FAC">
        <w:t>eMBB</w:t>
      </w:r>
      <w:proofErr w:type="spellEnd"/>
      <w:r>
        <w:t xml:space="preserve"> or IoT, one or the other will be supported. </w:t>
      </w:r>
      <w:proofErr w:type="gramStart"/>
      <w:r>
        <w:t>In order to</w:t>
      </w:r>
      <w:proofErr w:type="gramEnd"/>
      <w:r>
        <w:t xml:space="preserve"> support both objectives, RAN1 agreed to the working assumption that both a single and a double RACH configuration should be supported, where the </w:t>
      </w:r>
      <w:proofErr w:type="spellStart"/>
      <w:r>
        <w:t>signaling</w:t>
      </w:r>
      <w:proofErr w:type="spellEnd"/>
      <w:r>
        <w:t xml:space="preserve"> if the single configuration is unchanged whereas the additional configuration allows for more flexibility regarding introducing additional </w:t>
      </w:r>
      <w:proofErr w:type="spellStart"/>
      <w:r>
        <w:t>signaling</w:t>
      </w:r>
      <w:proofErr w:type="spellEnd"/>
      <w:r>
        <w:t xml:space="preserve">. Although </w:t>
      </w:r>
      <w:r w:rsidR="007E7D7F">
        <w:t xml:space="preserve">a compromise, </w:t>
      </w:r>
      <w:r>
        <w:t xml:space="preserve">the </w:t>
      </w:r>
      <w:r w:rsidR="007E7D7F">
        <w:t>WA</w:t>
      </w:r>
      <w:r>
        <w:t xml:space="preserve"> allows for both rapid development of </w:t>
      </w:r>
      <w:r w:rsidR="007E7D7F">
        <w:t xml:space="preserve">an industrial SBFD RACH where only the amount of PRACH needs to change, and a completely different </w:t>
      </w:r>
      <w:r w:rsidR="00865C14">
        <w:t>P</w:t>
      </w:r>
      <w:r w:rsidR="007E7D7F">
        <w:t>RACH properties where such are needed. For that reason, and to have progress in a matter that otherwise may be the cause of lengthy discussions, RAN1 should confirm the WA.</w:t>
      </w:r>
    </w:p>
    <w:p w14:paraId="3F5AC375" w14:textId="16DAA436" w:rsidR="003F686D" w:rsidRDefault="00B23341" w:rsidP="00DB5558">
      <w:pPr>
        <w:pStyle w:val="Proposal"/>
      </w:pPr>
      <w:bookmarkStart w:id="1" w:name="_Toc166256775"/>
      <w:bookmarkStart w:id="2" w:name="_Hlk120806868"/>
      <w:r>
        <w:t>Confirm WA on supporting</w:t>
      </w:r>
      <w:r w:rsidRPr="00B23341">
        <w:t xml:space="preserve"> both </w:t>
      </w:r>
      <w:r>
        <w:t>a</w:t>
      </w:r>
      <w:r w:rsidRPr="00B23341">
        <w:t xml:space="preserve"> single RACH configuration, only based on the existing parameters of the single RACH configuration</w:t>
      </w:r>
      <w:r>
        <w:t>, and</w:t>
      </w:r>
      <w:r w:rsidRPr="00B23341">
        <w:t xml:space="preserve"> two separate RACH configurations, including one legacy RACH configuration and one additional RACH configuration</w:t>
      </w:r>
      <w:r>
        <w:t>.</w:t>
      </w:r>
      <w:bookmarkEnd w:id="1"/>
    </w:p>
    <w:p w14:paraId="3677D718" w14:textId="13DBFCB1" w:rsidR="003F686D" w:rsidRDefault="00D42EE9" w:rsidP="003F686D">
      <w:pPr>
        <w:pStyle w:val="Heading3"/>
      </w:pPr>
      <w:r>
        <w:t>S</w:t>
      </w:r>
      <w:r w:rsidR="003F686D">
        <w:t>ingle RACH configuration</w:t>
      </w:r>
    </w:p>
    <w:p w14:paraId="50880C2F" w14:textId="6D09D891" w:rsidR="00A144DE" w:rsidRPr="00A144DE" w:rsidRDefault="00A144DE" w:rsidP="00A144DE">
      <w:r>
        <w:t xml:space="preserve">For the single RACH configuration case, the following </w:t>
      </w:r>
      <w:r w:rsidR="007979A4">
        <w:t>agreements were made</w:t>
      </w:r>
      <w:r>
        <w:t xml:space="preserve"> in RAN1 #116-bis </w:t>
      </w:r>
      <w:r>
        <w:fldChar w:fldCharType="begin"/>
      </w:r>
      <w:r>
        <w:instrText xml:space="preserve"> REF _Ref166054602 \r \h </w:instrText>
      </w:r>
      <w:r>
        <w:fldChar w:fldCharType="separate"/>
      </w:r>
      <w:r w:rsidR="00560801">
        <w:t>[2]</w:t>
      </w:r>
      <w:r>
        <w:fldChar w:fldCharType="end"/>
      </w:r>
      <w:r>
        <w:t>:</w:t>
      </w:r>
    </w:p>
    <w:tbl>
      <w:tblPr>
        <w:tblStyle w:val="TableGrid"/>
        <w:tblW w:w="0" w:type="auto"/>
        <w:tblLook w:val="04A0" w:firstRow="1" w:lastRow="0" w:firstColumn="1" w:lastColumn="0" w:noHBand="0" w:noVBand="1"/>
      </w:tblPr>
      <w:tblGrid>
        <w:gridCol w:w="9629"/>
      </w:tblGrid>
      <w:tr w:rsidR="002A04F3" w14:paraId="32870186" w14:textId="77777777" w:rsidTr="002A04F3">
        <w:tc>
          <w:tcPr>
            <w:tcW w:w="9855" w:type="dxa"/>
          </w:tcPr>
          <w:p w14:paraId="72765959" w14:textId="77777777" w:rsidR="002A04F3" w:rsidRPr="002A04F3" w:rsidRDefault="002A04F3" w:rsidP="002A04F3">
            <w:pPr>
              <w:spacing w:before="240"/>
              <w:rPr>
                <w:b/>
                <w:bCs/>
                <w:iCs/>
                <w:sz w:val="20"/>
                <w:szCs w:val="20"/>
                <w:highlight w:val="green"/>
              </w:rPr>
            </w:pPr>
            <w:r w:rsidRPr="002A04F3">
              <w:rPr>
                <w:b/>
                <w:bCs/>
                <w:iCs/>
                <w:sz w:val="20"/>
                <w:szCs w:val="20"/>
                <w:highlight w:val="green"/>
              </w:rPr>
              <w:t>Agreement</w:t>
            </w:r>
          </w:p>
          <w:p w14:paraId="414EA2B1" w14:textId="77777777" w:rsidR="002A04F3" w:rsidRPr="002A04F3" w:rsidRDefault="002A04F3" w:rsidP="002A04F3">
            <w:pPr>
              <w:rPr>
                <w:sz w:val="20"/>
                <w:szCs w:val="20"/>
              </w:rPr>
            </w:pPr>
            <w:proofErr w:type="spellStart"/>
            <w:r w:rsidRPr="002A04F3">
              <w:rPr>
                <w:sz w:val="20"/>
                <w:szCs w:val="20"/>
              </w:rPr>
              <w:t>For</w:t>
            </w:r>
            <w:proofErr w:type="spellEnd"/>
            <w:r w:rsidRPr="002A04F3">
              <w:rPr>
                <w:sz w:val="20"/>
                <w:szCs w:val="20"/>
              </w:rPr>
              <w:t xml:space="preserve"> Option 1 (i.e., </w:t>
            </w:r>
            <w:proofErr w:type="spellStart"/>
            <w:r w:rsidRPr="002A04F3">
              <w:rPr>
                <w:sz w:val="20"/>
                <w:szCs w:val="20"/>
              </w:rPr>
              <w:t>use</w:t>
            </w:r>
            <w:proofErr w:type="spellEnd"/>
            <w:r w:rsidRPr="002A04F3">
              <w:rPr>
                <w:sz w:val="20"/>
                <w:szCs w:val="20"/>
              </w:rPr>
              <w:t xml:space="preserve"> </w:t>
            </w:r>
            <w:proofErr w:type="spellStart"/>
            <w:r w:rsidRPr="002A04F3">
              <w:rPr>
                <w:sz w:val="20"/>
                <w:szCs w:val="20"/>
              </w:rPr>
              <w:t>one</w:t>
            </w:r>
            <w:proofErr w:type="spellEnd"/>
            <w:r w:rsidRPr="002A04F3">
              <w:rPr>
                <w:sz w:val="20"/>
                <w:szCs w:val="20"/>
              </w:rPr>
              <w:t xml:space="preserve"> </w:t>
            </w:r>
            <w:proofErr w:type="spellStart"/>
            <w:r w:rsidRPr="002A04F3">
              <w:rPr>
                <w:sz w:val="20"/>
                <w:szCs w:val="20"/>
              </w:rPr>
              <w:t>single</w:t>
            </w:r>
            <w:proofErr w:type="spellEnd"/>
            <w:r w:rsidRPr="002A04F3">
              <w:rPr>
                <w:sz w:val="20"/>
                <w:szCs w:val="20"/>
              </w:rPr>
              <w:t xml:space="preserve"> RACH </w:t>
            </w:r>
            <w:proofErr w:type="spellStart"/>
            <w:r w:rsidRPr="002A04F3">
              <w:rPr>
                <w:sz w:val="20"/>
                <w:szCs w:val="20"/>
              </w:rPr>
              <w:t>configuration</w:t>
            </w:r>
            <w:proofErr w:type="spellEnd"/>
            <w:r w:rsidRPr="002A04F3">
              <w:rPr>
                <w:sz w:val="20"/>
                <w:szCs w:val="20"/>
              </w:rPr>
              <w:t xml:space="preserve"> </w:t>
            </w:r>
            <w:proofErr w:type="spellStart"/>
            <w:r w:rsidRPr="002A04F3">
              <w:rPr>
                <w:sz w:val="20"/>
                <w:szCs w:val="20"/>
              </w:rPr>
              <w:t>with</w:t>
            </w:r>
            <w:proofErr w:type="spellEnd"/>
            <w:r w:rsidRPr="002A04F3">
              <w:rPr>
                <w:sz w:val="20"/>
                <w:szCs w:val="20"/>
              </w:rPr>
              <w:t xml:space="preserve"> possible </w:t>
            </w:r>
            <w:proofErr w:type="spellStart"/>
            <w:r w:rsidRPr="002A04F3">
              <w:rPr>
                <w:sz w:val="20"/>
                <w:szCs w:val="20"/>
              </w:rPr>
              <w:t>enhancement</w:t>
            </w:r>
            <w:proofErr w:type="spellEnd"/>
            <w:r w:rsidRPr="002A04F3">
              <w:rPr>
                <w:sz w:val="20"/>
                <w:szCs w:val="20"/>
              </w:rPr>
              <w:t xml:space="preserve">) </w:t>
            </w:r>
            <w:proofErr w:type="spellStart"/>
            <w:r w:rsidRPr="002A04F3">
              <w:rPr>
                <w:sz w:val="20"/>
                <w:szCs w:val="20"/>
              </w:rPr>
              <w:t>to</w:t>
            </w:r>
            <w:proofErr w:type="spellEnd"/>
            <w:r w:rsidRPr="002A04F3">
              <w:rPr>
                <w:sz w:val="20"/>
                <w:szCs w:val="20"/>
              </w:rPr>
              <w:t xml:space="preserve"> support </w:t>
            </w:r>
            <w:proofErr w:type="spellStart"/>
            <w:r w:rsidRPr="002A04F3">
              <w:rPr>
                <w:sz w:val="20"/>
                <w:szCs w:val="20"/>
              </w:rPr>
              <w:t>random</w:t>
            </w:r>
            <w:proofErr w:type="spellEnd"/>
            <w:r w:rsidRPr="002A04F3">
              <w:rPr>
                <w:sz w:val="20"/>
                <w:szCs w:val="20"/>
              </w:rPr>
              <w:t xml:space="preserve"> </w:t>
            </w:r>
            <w:proofErr w:type="spellStart"/>
            <w:r w:rsidRPr="002A04F3">
              <w:rPr>
                <w:sz w:val="20"/>
                <w:szCs w:val="20"/>
              </w:rPr>
              <w:t>access</w:t>
            </w:r>
            <w:proofErr w:type="spellEnd"/>
            <w:r w:rsidRPr="002A04F3">
              <w:rPr>
                <w:sz w:val="20"/>
                <w:szCs w:val="20"/>
              </w:rPr>
              <w:t xml:space="preserve"> </w:t>
            </w:r>
            <w:proofErr w:type="spellStart"/>
            <w:r w:rsidRPr="002A04F3">
              <w:rPr>
                <w:sz w:val="20"/>
                <w:szCs w:val="20"/>
              </w:rPr>
              <w:t>operation</w:t>
            </w:r>
            <w:proofErr w:type="spellEnd"/>
            <w:r w:rsidRPr="002A04F3">
              <w:rPr>
                <w:sz w:val="20"/>
                <w:szCs w:val="20"/>
              </w:rPr>
              <w:t xml:space="preserve"> </w:t>
            </w:r>
            <w:proofErr w:type="spellStart"/>
            <w:r w:rsidRPr="002A04F3">
              <w:rPr>
                <w:sz w:val="20"/>
                <w:szCs w:val="20"/>
              </w:rPr>
              <w:t>for</w:t>
            </w:r>
            <w:proofErr w:type="spellEnd"/>
            <w:r w:rsidRPr="002A04F3">
              <w:rPr>
                <w:sz w:val="20"/>
                <w:szCs w:val="20"/>
              </w:rPr>
              <w:t xml:space="preserve"> SBFD-aware UEs in RRC CONNECTED </w:t>
            </w:r>
            <w:proofErr w:type="spellStart"/>
            <w:r w:rsidRPr="002A04F3">
              <w:rPr>
                <w:sz w:val="20"/>
                <w:szCs w:val="20"/>
              </w:rPr>
              <w:t>state</w:t>
            </w:r>
            <w:proofErr w:type="spellEnd"/>
            <w:r w:rsidRPr="002A04F3">
              <w:rPr>
                <w:sz w:val="20"/>
                <w:szCs w:val="20"/>
              </w:rPr>
              <w:t xml:space="preserve">, </w:t>
            </w:r>
            <w:proofErr w:type="spellStart"/>
            <w:r w:rsidRPr="002A04F3">
              <w:rPr>
                <w:sz w:val="20"/>
                <w:szCs w:val="20"/>
              </w:rPr>
              <w:t>use</w:t>
            </w:r>
            <w:proofErr w:type="spellEnd"/>
            <w:r w:rsidRPr="002A04F3">
              <w:rPr>
                <w:sz w:val="20"/>
                <w:szCs w:val="20"/>
              </w:rPr>
              <w:t xml:space="preserve"> </w:t>
            </w:r>
            <w:proofErr w:type="spellStart"/>
            <w:r w:rsidRPr="002A04F3">
              <w:rPr>
                <w:sz w:val="20"/>
                <w:szCs w:val="20"/>
              </w:rPr>
              <w:t>existing</w:t>
            </w:r>
            <w:proofErr w:type="spellEnd"/>
            <w:r w:rsidRPr="002A04F3">
              <w:rPr>
                <w:sz w:val="20"/>
                <w:szCs w:val="20"/>
              </w:rPr>
              <w:t xml:space="preserve"> </w:t>
            </w:r>
            <w:proofErr w:type="spellStart"/>
            <w:r w:rsidRPr="002A04F3">
              <w:rPr>
                <w:sz w:val="20"/>
                <w:szCs w:val="20"/>
              </w:rPr>
              <w:t>random</w:t>
            </w:r>
            <w:proofErr w:type="spellEnd"/>
            <w:r w:rsidRPr="002A04F3">
              <w:rPr>
                <w:sz w:val="20"/>
                <w:szCs w:val="20"/>
              </w:rPr>
              <w:t xml:space="preserve"> </w:t>
            </w:r>
            <w:proofErr w:type="spellStart"/>
            <w:r w:rsidRPr="002A04F3">
              <w:rPr>
                <w:sz w:val="20"/>
                <w:szCs w:val="20"/>
              </w:rPr>
              <w:t>access</w:t>
            </w:r>
            <w:proofErr w:type="spellEnd"/>
            <w:r w:rsidRPr="002A04F3">
              <w:rPr>
                <w:sz w:val="20"/>
                <w:szCs w:val="20"/>
              </w:rPr>
              <w:t xml:space="preserve"> </w:t>
            </w:r>
            <w:proofErr w:type="spellStart"/>
            <w:r w:rsidRPr="002A04F3">
              <w:rPr>
                <w:sz w:val="20"/>
                <w:szCs w:val="20"/>
              </w:rPr>
              <w:t>configurations</w:t>
            </w:r>
            <w:proofErr w:type="spellEnd"/>
            <w:r w:rsidRPr="002A04F3">
              <w:rPr>
                <w:sz w:val="20"/>
                <w:szCs w:val="20"/>
              </w:rPr>
              <w:t xml:space="preserve"> </w:t>
            </w:r>
            <w:proofErr w:type="spellStart"/>
            <w:r w:rsidRPr="002A04F3">
              <w:rPr>
                <w:sz w:val="20"/>
                <w:szCs w:val="20"/>
              </w:rPr>
              <w:t>tables</w:t>
            </w:r>
            <w:proofErr w:type="spellEnd"/>
            <w:r w:rsidRPr="002A04F3">
              <w:rPr>
                <w:sz w:val="20"/>
                <w:szCs w:val="20"/>
              </w:rPr>
              <w:t xml:space="preserve"> </w:t>
            </w:r>
            <w:proofErr w:type="spellStart"/>
            <w:r w:rsidRPr="002A04F3">
              <w:rPr>
                <w:sz w:val="20"/>
                <w:szCs w:val="20"/>
              </w:rPr>
              <w:t>for</w:t>
            </w:r>
            <w:proofErr w:type="spellEnd"/>
            <w:r w:rsidRPr="002A04F3">
              <w:rPr>
                <w:sz w:val="20"/>
                <w:szCs w:val="20"/>
              </w:rPr>
              <w:t xml:space="preserve"> </w:t>
            </w:r>
            <w:proofErr w:type="spellStart"/>
            <w:r w:rsidRPr="002A04F3">
              <w:rPr>
                <w:sz w:val="20"/>
                <w:szCs w:val="20"/>
              </w:rPr>
              <w:t>unpaired</w:t>
            </w:r>
            <w:proofErr w:type="spellEnd"/>
            <w:r w:rsidRPr="002A04F3">
              <w:rPr>
                <w:sz w:val="20"/>
                <w:szCs w:val="20"/>
              </w:rPr>
              <w:t xml:space="preserve"> </w:t>
            </w:r>
            <w:proofErr w:type="spellStart"/>
            <w:r w:rsidRPr="002A04F3">
              <w:rPr>
                <w:sz w:val="20"/>
                <w:szCs w:val="20"/>
              </w:rPr>
              <w:t>spectrum</w:t>
            </w:r>
            <w:proofErr w:type="spellEnd"/>
            <w:r w:rsidRPr="002A04F3">
              <w:rPr>
                <w:sz w:val="20"/>
                <w:szCs w:val="20"/>
              </w:rPr>
              <w:t xml:space="preserve"> (i.e., Table 6.3.3.2-3 </w:t>
            </w:r>
            <w:proofErr w:type="spellStart"/>
            <w:r w:rsidRPr="002A04F3">
              <w:rPr>
                <w:sz w:val="20"/>
                <w:szCs w:val="20"/>
              </w:rPr>
              <w:t>for</w:t>
            </w:r>
            <w:proofErr w:type="spellEnd"/>
            <w:r w:rsidRPr="002A04F3">
              <w:rPr>
                <w:sz w:val="20"/>
                <w:szCs w:val="20"/>
              </w:rPr>
              <w:t xml:space="preserve"> FR1 and Table 6.3.3.2-4 </w:t>
            </w:r>
            <w:proofErr w:type="spellStart"/>
            <w:r w:rsidRPr="002A04F3">
              <w:rPr>
                <w:sz w:val="20"/>
                <w:szCs w:val="20"/>
              </w:rPr>
              <w:t>for</w:t>
            </w:r>
            <w:proofErr w:type="spellEnd"/>
            <w:r w:rsidRPr="002A04F3">
              <w:rPr>
                <w:sz w:val="20"/>
                <w:szCs w:val="20"/>
              </w:rPr>
              <w:t xml:space="preserve"> FR2 in TS38.211).</w:t>
            </w:r>
          </w:p>
          <w:p w14:paraId="5F7921B1" w14:textId="77777777" w:rsidR="002A04F3" w:rsidRPr="002A04F3" w:rsidRDefault="002A04F3" w:rsidP="002A04F3">
            <w:pPr>
              <w:rPr>
                <w:b/>
                <w:bCs/>
                <w:iCs/>
                <w:sz w:val="20"/>
                <w:szCs w:val="18"/>
                <w:highlight w:val="green"/>
                <w:lang w:val="en-US"/>
              </w:rPr>
            </w:pPr>
            <w:r w:rsidRPr="002A04F3">
              <w:rPr>
                <w:b/>
                <w:bCs/>
                <w:iCs/>
                <w:sz w:val="20"/>
                <w:szCs w:val="18"/>
                <w:highlight w:val="green"/>
                <w:lang w:val="en-US"/>
              </w:rPr>
              <w:t>Agreement</w:t>
            </w:r>
          </w:p>
          <w:p w14:paraId="450E73FE" w14:textId="77777777" w:rsidR="002A04F3" w:rsidRPr="002A04F3" w:rsidRDefault="002A04F3" w:rsidP="002A04F3">
            <w:pPr>
              <w:rPr>
                <w:sz w:val="20"/>
                <w:szCs w:val="18"/>
              </w:rPr>
            </w:pPr>
            <w:proofErr w:type="spellStart"/>
            <w:r w:rsidRPr="002A04F3">
              <w:rPr>
                <w:sz w:val="20"/>
                <w:szCs w:val="18"/>
              </w:rPr>
              <w:t>For</w:t>
            </w:r>
            <w:proofErr w:type="spellEnd"/>
            <w:r w:rsidRPr="002A04F3">
              <w:rPr>
                <w:sz w:val="20"/>
                <w:szCs w:val="18"/>
              </w:rPr>
              <w:t xml:space="preserve"> SBFD-aware UEs in RRC CONNECTED </w:t>
            </w:r>
            <w:proofErr w:type="spellStart"/>
            <w:r w:rsidRPr="002A04F3">
              <w:rPr>
                <w:sz w:val="20"/>
                <w:szCs w:val="18"/>
              </w:rPr>
              <w:t>state</w:t>
            </w:r>
            <w:proofErr w:type="spellEnd"/>
            <w:r w:rsidRPr="002A04F3">
              <w:rPr>
                <w:sz w:val="20"/>
                <w:szCs w:val="18"/>
              </w:rPr>
              <w:t xml:space="preserve">, and </w:t>
            </w:r>
            <w:proofErr w:type="spellStart"/>
            <w:r w:rsidRPr="002A04F3">
              <w:rPr>
                <w:sz w:val="20"/>
                <w:szCs w:val="18"/>
              </w:rPr>
              <w:t>for</w:t>
            </w:r>
            <w:proofErr w:type="spellEnd"/>
            <w:r w:rsidRPr="002A04F3">
              <w:rPr>
                <w:sz w:val="20"/>
                <w:szCs w:val="18"/>
              </w:rPr>
              <w:t xml:space="preserve"> RACH </w:t>
            </w:r>
            <w:proofErr w:type="spellStart"/>
            <w:r w:rsidRPr="002A04F3">
              <w:rPr>
                <w:sz w:val="20"/>
                <w:szCs w:val="18"/>
              </w:rPr>
              <w:t>configuration</w:t>
            </w:r>
            <w:proofErr w:type="spellEnd"/>
            <w:r w:rsidRPr="002A04F3">
              <w:rPr>
                <w:sz w:val="20"/>
                <w:szCs w:val="18"/>
              </w:rPr>
              <w:t xml:space="preserve"> Option 1 </w:t>
            </w:r>
            <w:proofErr w:type="spellStart"/>
            <w:r w:rsidRPr="002A04F3">
              <w:rPr>
                <w:sz w:val="20"/>
                <w:szCs w:val="18"/>
              </w:rPr>
              <w:t>with</w:t>
            </w:r>
            <w:proofErr w:type="spellEnd"/>
            <w:r w:rsidRPr="002A04F3">
              <w:rPr>
                <w:sz w:val="20"/>
                <w:szCs w:val="18"/>
              </w:rPr>
              <w:t xml:space="preserve"> Alt 1-1 (i.e., </w:t>
            </w:r>
            <w:proofErr w:type="spellStart"/>
            <w:r w:rsidRPr="002A04F3">
              <w:rPr>
                <w:sz w:val="20"/>
                <w:szCs w:val="18"/>
              </w:rPr>
              <w:t>use</w:t>
            </w:r>
            <w:proofErr w:type="spellEnd"/>
            <w:r w:rsidRPr="002A04F3">
              <w:rPr>
                <w:sz w:val="20"/>
                <w:szCs w:val="18"/>
              </w:rPr>
              <w:t xml:space="preserve"> </w:t>
            </w:r>
            <w:proofErr w:type="spellStart"/>
            <w:r w:rsidRPr="002A04F3">
              <w:rPr>
                <w:sz w:val="20"/>
                <w:szCs w:val="18"/>
              </w:rPr>
              <w:t>one</w:t>
            </w:r>
            <w:proofErr w:type="spellEnd"/>
            <w:r w:rsidRPr="002A04F3">
              <w:rPr>
                <w:sz w:val="20"/>
                <w:szCs w:val="18"/>
              </w:rPr>
              <w:t xml:space="preserve"> </w:t>
            </w:r>
            <w:proofErr w:type="spellStart"/>
            <w:r w:rsidRPr="002A04F3">
              <w:rPr>
                <w:sz w:val="20"/>
                <w:szCs w:val="18"/>
              </w:rPr>
              <w:t>single</w:t>
            </w:r>
            <w:proofErr w:type="spellEnd"/>
            <w:r w:rsidRPr="002A04F3">
              <w:rPr>
                <w:sz w:val="20"/>
                <w:szCs w:val="18"/>
              </w:rPr>
              <w:t xml:space="preserve"> RACH </w:t>
            </w:r>
            <w:proofErr w:type="spellStart"/>
            <w:r w:rsidRPr="002A04F3">
              <w:rPr>
                <w:sz w:val="20"/>
                <w:szCs w:val="18"/>
              </w:rPr>
              <w:t>configuration</w:t>
            </w:r>
            <w:proofErr w:type="spellEnd"/>
            <w:r w:rsidRPr="002A04F3">
              <w:rPr>
                <w:sz w:val="20"/>
                <w:szCs w:val="18"/>
              </w:rPr>
              <w:t xml:space="preserve">, and </w:t>
            </w:r>
            <w:proofErr w:type="spellStart"/>
            <w:r w:rsidRPr="002A04F3">
              <w:rPr>
                <w:sz w:val="20"/>
                <w:szCs w:val="18"/>
              </w:rPr>
              <w:t>only</w:t>
            </w:r>
            <w:proofErr w:type="spellEnd"/>
            <w:r w:rsidRPr="002A04F3">
              <w:rPr>
                <w:sz w:val="20"/>
                <w:szCs w:val="18"/>
              </w:rPr>
              <w:t xml:space="preserve"> </w:t>
            </w:r>
            <w:proofErr w:type="spellStart"/>
            <w:r w:rsidRPr="002A04F3">
              <w:rPr>
                <w:sz w:val="20"/>
                <w:szCs w:val="18"/>
              </w:rPr>
              <w:t>based</w:t>
            </w:r>
            <w:proofErr w:type="spellEnd"/>
            <w:r w:rsidRPr="002A04F3">
              <w:rPr>
                <w:sz w:val="20"/>
                <w:szCs w:val="18"/>
              </w:rPr>
              <w:t xml:space="preserve"> on </w:t>
            </w:r>
            <w:proofErr w:type="spellStart"/>
            <w:r w:rsidRPr="002A04F3">
              <w:rPr>
                <w:sz w:val="20"/>
                <w:szCs w:val="18"/>
              </w:rPr>
              <w:t>the</w:t>
            </w:r>
            <w:proofErr w:type="spellEnd"/>
            <w:r w:rsidRPr="002A04F3">
              <w:rPr>
                <w:sz w:val="20"/>
                <w:szCs w:val="18"/>
              </w:rPr>
              <w:t xml:space="preserve"> </w:t>
            </w:r>
            <w:proofErr w:type="spellStart"/>
            <w:r w:rsidRPr="002A04F3">
              <w:rPr>
                <w:sz w:val="20"/>
                <w:szCs w:val="18"/>
              </w:rPr>
              <w:t>existing</w:t>
            </w:r>
            <w:proofErr w:type="spellEnd"/>
            <w:r w:rsidRPr="002A04F3">
              <w:rPr>
                <w:sz w:val="20"/>
                <w:szCs w:val="18"/>
              </w:rPr>
              <w:t xml:space="preserve"> </w:t>
            </w:r>
            <w:proofErr w:type="spellStart"/>
            <w:r w:rsidRPr="002A04F3">
              <w:rPr>
                <w:sz w:val="20"/>
                <w:szCs w:val="18"/>
              </w:rPr>
              <w:t>parameters</w:t>
            </w:r>
            <w:proofErr w:type="spellEnd"/>
            <w:r w:rsidRPr="002A04F3">
              <w:rPr>
                <w:sz w:val="20"/>
                <w:szCs w:val="18"/>
              </w:rPr>
              <w:t xml:space="preserve"> </w:t>
            </w:r>
            <w:proofErr w:type="spellStart"/>
            <w:r w:rsidRPr="002A04F3">
              <w:rPr>
                <w:sz w:val="20"/>
                <w:szCs w:val="18"/>
              </w:rPr>
              <w:t>of</w:t>
            </w:r>
            <w:proofErr w:type="spellEnd"/>
            <w:r w:rsidRPr="002A04F3">
              <w:rPr>
                <w:sz w:val="20"/>
                <w:szCs w:val="18"/>
              </w:rPr>
              <w:t xml:space="preserve"> </w:t>
            </w:r>
            <w:proofErr w:type="spellStart"/>
            <w:r w:rsidRPr="002A04F3">
              <w:rPr>
                <w:sz w:val="20"/>
                <w:szCs w:val="18"/>
              </w:rPr>
              <w:t>the</w:t>
            </w:r>
            <w:proofErr w:type="spellEnd"/>
            <w:r w:rsidRPr="002A04F3">
              <w:rPr>
                <w:sz w:val="20"/>
                <w:szCs w:val="18"/>
              </w:rPr>
              <w:t xml:space="preserve"> </w:t>
            </w:r>
            <w:proofErr w:type="spellStart"/>
            <w:r w:rsidRPr="002A04F3">
              <w:rPr>
                <w:sz w:val="20"/>
                <w:szCs w:val="18"/>
              </w:rPr>
              <w:t>single</w:t>
            </w:r>
            <w:proofErr w:type="spellEnd"/>
            <w:r w:rsidRPr="002A04F3">
              <w:rPr>
                <w:sz w:val="20"/>
                <w:szCs w:val="18"/>
              </w:rPr>
              <w:t xml:space="preserve"> RACH </w:t>
            </w:r>
            <w:proofErr w:type="spellStart"/>
            <w:r w:rsidRPr="002A04F3">
              <w:rPr>
                <w:sz w:val="20"/>
                <w:szCs w:val="18"/>
              </w:rPr>
              <w:t>configuration</w:t>
            </w:r>
            <w:proofErr w:type="spellEnd"/>
            <w:r w:rsidRPr="002A04F3">
              <w:rPr>
                <w:sz w:val="20"/>
                <w:szCs w:val="18"/>
              </w:rPr>
              <w:t>),</w:t>
            </w:r>
          </w:p>
          <w:p w14:paraId="5684B84E" w14:textId="77777777" w:rsidR="002A04F3" w:rsidRPr="002A04F3" w:rsidRDefault="002A04F3" w:rsidP="002A04F3">
            <w:pPr>
              <w:pStyle w:val="ListParagraph"/>
              <w:numPr>
                <w:ilvl w:val="0"/>
                <w:numId w:val="28"/>
              </w:numPr>
              <w:spacing w:line="240" w:lineRule="auto"/>
              <w:jc w:val="left"/>
              <w:rPr>
                <w:sz w:val="20"/>
                <w:szCs w:val="18"/>
                <w:lang w:val="en-US"/>
              </w:rPr>
            </w:pPr>
            <w:r w:rsidRPr="002A04F3">
              <w:rPr>
                <w:sz w:val="20"/>
                <w:szCs w:val="18"/>
                <w:lang w:val="en-US"/>
              </w:rPr>
              <w:t xml:space="preserve">For the legacy-ROs, including the ROs in </w:t>
            </w:r>
            <w:r w:rsidRPr="002A04F3">
              <w:rPr>
                <w:color w:val="000000"/>
                <w:sz w:val="20"/>
                <w:szCs w:val="18"/>
                <w:lang w:val="en-US"/>
              </w:rPr>
              <w:t xml:space="preserve">non-SBFD symbols and the ROs in </w:t>
            </w:r>
            <w:r w:rsidRPr="002A04F3">
              <w:rPr>
                <w:sz w:val="20"/>
                <w:szCs w:val="18"/>
                <w:lang w:val="en-US"/>
              </w:rPr>
              <w:t xml:space="preserve">SBFD symbols configured as flexible by </w:t>
            </w:r>
            <w:proofErr w:type="spellStart"/>
            <w:r w:rsidRPr="002A04F3">
              <w:rPr>
                <w:i/>
                <w:iCs/>
                <w:sz w:val="20"/>
                <w:szCs w:val="18"/>
                <w:lang w:val="en-US"/>
              </w:rPr>
              <w:t>tdd</w:t>
            </w:r>
            <w:proofErr w:type="spellEnd"/>
            <w:r w:rsidRPr="002A04F3">
              <w:rPr>
                <w:i/>
                <w:iCs/>
                <w:sz w:val="20"/>
                <w:szCs w:val="18"/>
                <w:lang w:val="en-US"/>
              </w:rPr>
              <w:t>-UL-DL-</w:t>
            </w:r>
            <w:proofErr w:type="spellStart"/>
            <w:r w:rsidRPr="002A04F3">
              <w:rPr>
                <w:i/>
                <w:iCs/>
                <w:sz w:val="20"/>
                <w:szCs w:val="18"/>
                <w:lang w:val="en-US"/>
              </w:rPr>
              <w:t>ConfigurationCommon</w:t>
            </w:r>
            <w:proofErr w:type="spellEnd"/>
            <w:r w:rsidRPr="002A04F3">
              <w:rPr>
                <w:i/>
                <w:iCs/>
                <w:sz w:val="20"/>
                <w:szCs w:val="18"/>
                <w:lang w:val="en-US"/>
              </w:rPr>
              <w:t xml:space="preserve"> </w:t>
            </w:r>
            <w:r w:rsidRPr="002A04F3">
              <w:rPr>
                <w:sz w:val="20"/>
                <w:szCs w:val="18"/>
                <w:lang w:val="en-US"/>
              </w:rPr>
              <w:t>(if any), the legacy SSB-RO mapping is followed.</w:t>
            </w:r>
          </w:p>
          <w:p w14:paraId="4B2ED153" w14:textId="1B75E96B" w:rsidR="002A04F3" w:rsidRPr="002A04F3" w:rsidRDefault="002A04F3" w:rsidP="002A04F3">
            <w:pPr>
              <w:pStyle w:val="ListParagraph"/>
              <w:numPr>
                <w:ilvl w:val="0"/>
                <w:numId w:val="28"/>
              </w:numPr>
              <w:spacing w:after="240" w:line="240" w:lineRule="auto"/>
              <w:jc w:val="left"/>
              <w:rPr>
                <w:sz w:val="20"/>
                <w:szCs w:val="18"/>
                <w:lang w:val="en-US"/>
              </w:rPr>
            </w:pPr>
            <w:r w:rsidRPr="002A04F3">
              <w:rPr>
                <w:sz w:val="20"/>
                <w:szCs w:val="18"/>
                <w:lang w:val="en-US"/>
              </w:rPr>
              <w:t xml:space="preserve">For the </w:t>
            </w:r>
            <w:r w:rsidRPr="002A04F3">
              <w:rPr>
                <w:color w:val="000000"/>
                <w:sz w:val="20"/>
                <w:szCs w:val="18"/>
                <w:lang w:val="en-US"/>
              </w:rPr>
              <w:t xml:space="preserve">ROs in </w:t>
            </w:r>
            <w:r w:rsidRPr="002A04F3">
              <w:rPr>
                <w:sz w:val="20"/>
                <w:szCs w:val="18"/>
                <w:lang w:val="en-US"/>
              </w:rPr>
              <w:t xml:space="preserve">SBFD </w:t>
            </w:r>
            <w:bookmarkStart w:id="3" w:name="_Hlk165903424"/>
            <w:r w:rsidRPr="002A04F3">
              <w:rPr>
                <w:sz w:val="20"/>
                <w:szCs w:val="18"/>
                <w:lang w:val="en-US"/>
              </w:rPr>
              <w:t xml:space="preserve">symbols configured as downlink by </w:t>
            </w:r>
            <w:proofErr w:type="spellStart"/>
            <w:r w:rsidRPr="002A04F3">
              <w:rPr>
                <w:i/>
                <w:iCs/>
                <w:sz w:val="20"/>
                <w:szCs w:val="18"/>
                <w:lang w:val="en-US"/>
              </w:rPr>
              <w:t>tdd</w:t>
            </w:r>
            <w:proofErr w:type="spellEnd"/>
            <w:r w:rsidRPr="002A04F3">
              <w:rPr>
                <w:i/>
                <w:iCs/>
                <w:sz w:val="20"/>
                <w:szCs w:val="18"/>
                <w:lang w:val="en-US"/>
              </w:rPr>
              <w:t>-UL-DL-</w:t>
            </w:r>
            <w:proofErr w:type="spellStart"/>
            <w:r w:rsidRPr="002A04F3">
              <w:rPr>
                <w:i/>
                <w:iCs/>
                <w:sz w:val="20"/>
                <w:szCs w:val="18"/>
                <w:lang w:val="en-US"/>
              </w:rPr>
              <w:t>ConfigurationCommon</w:t>
            </w:r>
            <w:bookmarkEnd w:id="3"/>
            <w:proofErr w:type="spellEnd"/>
            <w:r w:rsidRPr="002A04F3">
              <w:rPr>
                <w:sz w:val="20"/>
                <w:szCs w:val="18"/>
                <w:lang w:val="en-US"/>
              </w:rPr>
              <w:t>, separate SSB-RO mapping will be used</w:t>
            </w:r>
            <w:r>
              <w:rPr>
                <w:sz w:val="20"/>
                <w:szCs w:val="18"/>
                <w:lang w:val="en-US"/>
              </w:rPr>
              <w:t>.</w:t>
            </w:r>
          </w:p>
          <w:p w14:paraId="5E2132A5" w14:textId="77777777" w:rsidR="002A04F3" w:rsidRPr="002A04F3" w:rsidRDefault="002A04F3" w:rsidP="002A04F3">
            <w:pPr>
              <w:rPr>
                <w:b/>
                <w:bCs/>
                <w:iCs/>
                <w:sz w:val="20"/>
                <w:szCs w:val="18"/>
                <w:highlight w:val="green"/>
              </w:rPr>
            </w:pPr>
            <w:r w:rsidRPr="002A04F3">
              <w:rPr>
                <w:b/>
                <w:bCs/>
                <w:iCs/>
                <w:sz w:val="20"/>
                <w:szCs w:val="18"/>
                <w:highlight w:val="green"/>
              </w:rPr>
              <w:t>Agreement</w:t>
            </w:r>
          </w:p>
          <w:p w14:paraId="3AA0C772" w14:textId="77777777" w:rsidR="002A04F3" w:rsidRPr="002A04F3" w:rsidRDefault="002A04F3" w:rsidP="002A04F3">
            <w:pPr>
              <w:rPr>
                <w:sz w:val="20"/>
                <w:szCs w:val="18"/>
              </w:rPr>
            </w:pPr>
            <w:proofErr w:type="spellStart"/>
            <w:r w:rsidRPr="002A04F3">
              <w:rPr>
                <w:sz w:val="20"/>
                <w:szCs w:val="18"/>
              </w:rPr>
              <w:t>For</w:t>
            </w:r>
            <w:proofErr w:type="spellEnd"/>
            <w:r w:rsidRPr="002A04F3">
              <w:rPr>
                <w:sz w:val="20"/>
                <w:szCs w:val="18"/>
              </w:rPr>
              <w:t xml:space="preserve"> Option 1 (i.e., </w:t>
            </w:r>
            <w:proofErr w:type="spellStart"/>
            <w:r w:rsidRPr="002A04F3">
              <w:rPr>
                <w:sz w:val="20"/>
                <w:szCs w:val="18"/>
              </w:rPr>
              <w:t>use</w:t>
            </w:r>
            <w:proofErr w:type="spellEnd"/>
            <w:r w:rsidRPr="002A04F3">
              <w:rPr>
                <w:sz w:val="20"/>
                <w:szCs w:val="18"/>
              </w:rPr>
              <w:t xml:space="preserve"> </w:t>
            </w:r>
            <w:proofErr w:type="spellStart"/>
            <w:r w:rsidRPr="002A04F3">
              <w:rPr>
                <w:sz w:val="20"/>
                <w:szCs w:val="18"/>
              </w:rPr>
              <w:t>one</w:t>
            </w:r>
            <w:proofErr w:type="spellEnd"/>
            <w:r w:rsidRPr="002A04F3">
              <w:rPr>
                <w:sz w:val="20"/>
                <w:szCs w:val="18"/>
              </w:rPr>
              <w:t xml:space="preserve"> </w:t>
            </w:r>
            <w:proofErr w:type="spellStart"/>
            <w:r w:rsidRPr="002A04F3">
              <w:rPr>
                <w:sz w:val="20"/>
                <w:szCs w:val="18"/>
              </w:rPr>
              <w:t>single</w:t>
            </w:r>
            <w:proofErr w:type="spellEnd"/>
            <w:r w:rsidRPr="002A04F3">
              <w:rPr>
                <w:sz w:val="20"/>
                <w:szCs w:val="18"/>
              </w:rPr>
              <w:t xml:space="preserve"> RACH </w:t>
            </w:r>
            <w:proofErr w:type="spellStart"/>
            <w:r w:rsidRPr="002A04F3">
              <w:rPr>
                <w:sz w:val="20"/>
                <w:szCs w:val="18"/>
              </w:rPr>
              <w:t>configuration</w:t>
            </w:r>
            <w:proofErr w:type="spellEnd"/>
            <w:r w:rsidRPr="002A04F3">
              <w:rPr>
                <w:sz w:val="20"/>
                <w:szCs w:val="18"/>
              </w:rPr>
              <w:t xml:space="preserve"> </w:t>
            </w:r>
            <w:proofErr w:type="spellStart"/>
            <w:r w:rsidRPr="002A04F3">
              <w:rPr>
                <w:sz w:val="20"/>
                <w:szCs w:val="18"/>
              </w:rPr>
              <w:t>with</w:t>
            </w:r>
            <w:proofErr w:type="spellEnd"/>
            <w:r w:rsidRPr="002A04F3">
              <w:rPr>
                <w:sz w:val="20"/>
                <w:szCs w:val="18"/>
              </w:rPr>
              <w:t xml:space="preserve"> possible </w:t>
            </w:r>
            <w:proofErr w:type="spellStart"/>
            <w:r w:rsidRPr="002A04F3">
              <w:rPr>
                <w:sz w:val="20"/>
                <w:szCs w:val="18"/>
              </w:rPr>
              <w:t>enhancement</w:t>
            </w:r>
            <w:proofErr w:type="spellEnd"/>
            <w:r w:rsidRPr="002A04F3">
              <w:rPr>
                <w:sz w:val="20"/>
                <w:szCs w:val="18"/>
              </w:rPr>
              <w:t xml:space="preserve">) </w:t>
            </w:r>
            <w:proofErr w:type="spellStart"/>
            <w:r w:rsidRPr="002A04F3">
              <w:rPr>
                <w:sz w:val="20"/>
                <w:szCs w:val="18"/>
              </w:rPr>
              <w:t>to</w:t>
            </w:r>
            <w:proofErr w:type="spellEnd"/>
            <w:r w:rsidRPr="002A04F3">
              <w:rPr>
                <w:sz w:val="20"/>
                <w:szCs w:val="18"/>
              </w:rPr>
              <w:t xml:space="preserve"> support </w:t>
            </w:r>
            <w:proofErr w:type="spellStart"/>
            <w:r w:rsidRPr="002A04F3">
              <w:rPr>
                <w:sz w:val="20"/>
                <w:szCs w:val="18"/>
              </w:rPr>
              <w:t>random</w:t>
            </w:r>
            <w:proofErr w:type="spellEnd"/>
            <w:r w:rsidRPr="002A04F3">
              <w:rPr>
                <w:sz w:val="20"/>
                <w:szCs w:val="18"/>
              </w:rPr>
              <w:t xml:space="preserve"> </w:t>
            </w:r>
            <w:proofErr w:type="spellStart"/>
            <w:r w:rsidRPr="002A04F3">
              <w:rPr>
                <w:sz w:val="20"/>
                <w:szCs w:val="18"/>
              </w:rPr>
              <w:t>access</w:t>
            </w:r>
            <w:proofErr w:type="spellEnd"/>
            <w:r w:rsidRPr="002A04F3">
              <w:rPr>
                <w:sz w:val="20"/>
                <w:szCs w:val="18"/>
              </w:rPr>
              <w:t xml:space="preserve"> </w:t>
            </w:r>
            <w:proofErr w:type="spellStart"/>
            <w:r w:rsidRPr="002A04F3">
              <w:rPr>
                <w:sz w:val="20"/>
                <w:szCs w:val="18"/>
              </w:rPr>
              <w:t>operation</w:t>
            </w:r>
            <w:proofErr w:type="spellEnd"/>
            <w:r w:rsidRPr="002A04F3">
              <w:rPr>
                <w:sz w:val="20"/>
                <w:szCs w:val="18"/>
              </w:rPr>
              <w:t xml:space="preserve"> </w:t>
            </w:r>
            <w:proofErr w:type="spellStart"/>
            <w:r w:rsidRPr="002A04F3">
              <w:rPr>
                <w:sz w:val="20"/>
                <w:szCs w:val="18"/>
              </w:rPr>
              <w:t>for</w:t>
            </w:r>
            <w:proofErr w:type="spellEnd"/>
            <w:r w:rsidRPr="002A04F3">
              <w:rPr>
                <w:sz w:val="20"/>
                <w:szCs w:val="18"/>
              </w:rPr>
              <w:t xml:space="preserve"> SBFD-aware UEs in RRC CONNECTED </w:t>
            </w:r>
            <w:proofErr w:type="spellStart"/>
            <w:r w:rsidRPr="002A04F3">
              <w:rPr>
                <w:sz w:val="20"/>
                <w:szCs w:val="18"/>
              </w:rPr>
              <w:t>state</w:t>
            </w:r>
            <w:proofErr w:type="spellEnd"/>
            <w:r w:rsidRPr="002A04F3">
              <w:rPr>
                <w:sz w:val="20"/>
                <w:szCs w:val="18"/>
              </w:rPr>
              <w:t xml:space="preserve">, </w:t>
            </w:r>
          </w:p>
          <w:p w14:paraId="451042A5" w14:textId="77777777" w:rsidR="002A04F3" w:rsidRPr="002A04F3" w:rsidRDefault="002A04F3" w:rsidP="002A04F3">
            <w:pPr>
              <w:pStyle w:val="ListParagraph"/>
              <w:numPr>
                <w:ilvl w:val="0"/>
                <w:numId w:val="28"/>
              </w:numPr>
              <w:spacing w:line="240" w:lineRule="auto"/>
              <w:jc w:val="left"/>
              <w:rPr>
                <w:sz w:val="20"/>
                <w:szCs w:val="18"/>
              </w:rPr>
            </w:pPr>
            <w:r w:rsidRPr="002A04F3">
              <w:rPr>
                <w:sz w:val="20"/>
                <w:szCs w:val="18"/>
              </w:rPr>
              <w:t xml:space="preserve">no enhancements for the RO validation rule for the </w:t>
            </w:r>
            <w:proofErr w:type="spellStart"/>
            <w:r w:rsidRPr="002A04F3">
              <w:rPr>
                <w:sz w:val="20"/>
                <w:szCs w:val="18"/>
              </w:rPr>
              <w:t>ROs</w:t>
            </w:r>
            <w:proofErr w:type="spellEnd"/>
            <w:r w:rsidRPr="002A04F3">
              <w:rPr>
                <w:sz w:val="20"/>
                <w:szCs w:val="18"/>
              </w:rPr>
              <w:t xml:space="preserve"> in non-SBFD symbols and the </w:t>
            </w:r>
            <w:proofErr w:type="spellStart"/>
            <w:r w:rsidRPr="002A04F3">
              <w:rPr>
                <w:sz w:val="20"/>
                <w:szCs w:val="18"/>
              </w:rPr>
              <w:t>ROs</w:t>
            </w:r>
            <w:proofErr w:type="spellEnd"/>
            <w:r w:rsidRPr="002A04F3">
              <w:rPr>
                <w:sz w:val="20"/>
                <w:szCs w:val="18"/>
              </w:rPr>
              <w:t xml:space="preserve"> in SBFD symbols configured as flexible by </w:t>
            </w:r>
            <w:proofErr w:type="spellStart"/>
            <w:r w:rsidRPr="002A04F3">
              <w:rPr>
                <w:i/>
                <w:iCs/>
                <w:sz w:val="20"/>
                <w:szCs w:val="18"/>
              </w:rPr>
              <w:t>tdd</w:t>
            </w:r>
            <w:proofErr w:type="spellEnd"/>
            <w:r w:rsidRPr="002A04F3">
              <w:rPr>
                <w:i/>
                <w:iCs/>
                <w:sz w:val="20"/>
                <w:szCs w:val="18"/>
              </w:rPr>
              <w:t>-UL-DL-</w:t>
            </w:r>
            <w:proofErr w:type="spellStart"/>
            <w:r w:rsidRPr="002A04F3">
              <w:rPr>
                <w:i/>
                <w:iCs/>
                <w:sz w:val="20"/>
                <w:szCs w:val="18"/>
              </w:rPr>
              <w:t>ConfigurationCommon</w:t>
            </w:r>
            <w:proofErr w:type="spellEnd"/>
            <w:r w:rsidRPr="002A04F3">
              <w:rPr>
                <w:i/>
                <w:iCs/>
                <w:sz w:val="20"/>
                <w:szCs w:val="18"/>
              </w:rPr>
              <w:t xml:space="preserve"> </w:t>
            </w:r>
            <w:r w:rsidRPr="002A04F3">
              <w:rPr>
                <w:sz w:val="20"/>
                <w:szCs w:val="18"/>
              </w:rPr>
              <w:t xml:space="preserve">(if any). </w:t>
            </w:r>
          </w:p>
          <w:p w14:paraId="1BD992CE" w14:textId="77777777" w:rsidR="002A04F3" w:rsidRPr="002A04F3" w:rsidRDefault="002A04F3" w:rsidP="002A04F3">
            <w:pPr>
              <w:pStyle w:val="ListParagraph"/>
              <w:numPr>
                <w:ilvl w:val="1"/>
                <w:numId w:val="28"/>
              </w:numPr>
              <w:spacing w:line="240" w:lineRule="auto"/>
              <w:jc w:val="left"/>
              <w:rPr>
                <w:sz w:val="20"/>
                <w:szCs w:val="18"/>
              </w:rPr>
            </w:pPr>
            <w:r w:rsidRPr="002A04F3">
              <w:rPr>
                <w:sz w:val="20"/>
                <w:szCs w:val="18"/>
              </w:rPr>
              <w:t xml:space="preserve">FFS: the </w:t>
            </w:r>
            <w:proofErr w:type="spellStart"/>
            <w:r w:rsidRPr="002A04F3">
              <w:rPr>
                <w:sz w:val="20"/>
                <w:szCs w:val="18"/>
              </w:rPr>
              <w:t>ROs</w:t>
            </w:r>
            <w:proofErr w:type="spellEnd"/>
            <w:r w:rsidRPr="002A04F3">
              <w:rPr>
                <w:sz w:val="20"/>
                <w:szCs w:val="18"/>
              </w:rPr>
              <w:t xml:space="preserve"> in non-SBFD symbols that are valid for non-SBFD aware </w:t>
            </w:r>
            <w:proofErr w:type="spellStart"/>
            <w:r w:rsidRPr="002A04F3">
              <w:rPr>
                <w:sz w:val="20"/>
                <w:szCs w:val="18"/>
              </w:rPr>
              <w:t>UEs</w:t>
            </w:r>
            <w:proofErr w:type="spellEnd"/>
            <w:r w:rsidRPr="002A04F3">
              <w:rPr>
                <w:sz w:val="20"/>
                <w:szCs w:val="18"/>
              </w:rPr>
              <w:t xml:space="preserve"> are also valid for SBFD aware </w:t>
            </w:r>
            <w:proofErr w:type="spellStart"/>
            <w:r w:rsidRPr="002A04F3">
              <w:rPr>
                <w:sz w:val="20"/>
                <w:szCs w:val="18"/>
              </w:rPr>
              <w:t>UEs</w:t>
            </w:r>
            <w:proofErr w:type="spellEnd"/>
            <w:r w:rsidRPr="002A04F3">
              <w:rPr>
                <w:sz w:val="20"/>
                <w:szCs w:val="18"/>
              </w:rPr>
              <w:t>.</w:t>
            </w:r>
          </w:p>
          <w:p w14:paraId="04E19AAB" w14:textId="77777777" w:rsidR="002A04F3" w:rsidRPr="002A04F3" w:rsidRDefault="002A04F3" w:rsidP="002A04F3">
            <w:pPr>
              <w:pStyle w:val="ListParagraph"/>
              <w:numPr>
                <w:ilvl w:val="1"/>
                <w:numId w:val="28"/>
              </w:numPr>
              <w:spacing w:line="240" w:lineRule="auto"/>
              <w:jc w:val="left"/>
              <w:rPr>
                <w:sz w:val="20"/>
                <w:szCs w:val="18"/>
              </w:rPr>
            </w:pPr>
            <w:r w:rsidRPr="002A04F3">
              <w:rPr>
                <w:sz w:val="20"/>
                <w:szCs w:val="18"/>
              </w:rPr>
              <w:t xml:space="preserve">FFS: It’s up to network configuration to ensure the </w:t>
            </w:r>
            <w:proofErr w:type="spellStart"/>
            <w:r w:rsidRPr="002A04F3">
              <w:rPr>
                <w:sz w:val="20"/>
                <w:szCs w:val="18"/>
              </w:rPr>
              <w:t>ROs</w:t>
            </w:r>
            <w:proofErr w:type="spellEnd"/>
            <w:r w:rsidRPr="002A04F3">
              <w:rPr>
                <w:sz w:val="20"/>
                <w:szCs w:val="18"/>
              </w:rPr>
              <w:t xml:space="preserve"> in SBFD symbols configured as</w:t>
            </w:r>
            <w:r w:rsidRPr="002A04F3">
              <w:rPr>
                <w:strike/>
                <w:sz w:val="20"/>
                <w:szCs w:val="18"/>
              </w:rPr>
              <w:t xml:space="preserve"> </w:t>
            </w:r>
            <w:r w:rsidRPr="002A04F3">
              <w:rPr>
                <w:sz w:val="20"/>
                <w:szCs w:val="18"/>
              </w:rPr>
              <w:t xml:space="preserve">flexible by </w:t>
            </w:r>
            <w:proofErr w:type="spellStart"/>
            <w:r w:rsidRPr="002A04F3">
              <w:rPr>
                <w:i/>
                <w:iCs/>
                <w:sz w:val="20"/>
                <w:szCs w:val="18"/>
              </w:rPr>
              <w:t>tdd</w:t>
            </w:r>
            <w:proofErr w:type="spellEnd"/>
            <w:r w:rsidRPr="002A04F3">
              <w:rPr>
                <w:i/>
                <w:iCs/>
                <w:sz w:val="20"/>
                <w:szCs w:val="18"/>
              </w:rPr>
              <w:t>-UL-DL-</w:t>
            </w:r>
            <w:proofErr w:type="spellStart"/>
            <w:r w:rsidRPr="002A04F3">
              <w:rPr>
                <w:i/>
                <w:iCs/>
                <w:sz w:val="20"/>
                <w:szCs w:val="18"/>
              </w:rPr>
              <w:t>ConfigurationCommon</w:t>
            </w:r>
            <w:proofErr w:type="spellEnd"/>
            <w:r w:rsidRPr="002A04F3">
              <w:rPr>
                <w:i/>
                <w:iCs/>
                <w:sz w:val="20"/>
                <w:szCs w:val="18"/>
              </w:rPr>
              <w:t>,</w:t>
            </w:r>
            <w:r w:rsidRPr="002A04F3">
              <w:rPr>
                <w:sz w:val="20"/>
                <w:szCs w:val="18"/>
              </w:rPr>
              <w:t xml:space="preserve"> which are valid for non-SBFD aware </w:t>
            </w:r>
            <w:proofErr w:type="spellStart"/>
            <w:r w:rsidRPr="002A04F3">
              <w:rPr>
                <w:sz w:val="20"/>
                <w:szCs w:val="18"/>
              </w:rPr>
              <w:t>UEs</w:t>
            </w:r>
            <w:proofErr w:type="spellEnd"/>
            <w:r w:rsidRPr="002A04F3">
              <w:rPr>
                <w:sz w:val="20"/>
                <w:szCs w:val="18"/>
              </w:rPr>
              <w:t xml:space="preserve"> based on legacy RO validation rule, are also valid for SBFD aware </w:t>
            </w:r>
            <w:proofErr w:type="spellStart"/>
            <w:r w:rsidRPr="002A04F3">
              <w:rPr>
                <w:sz w:val="20"/>
                <w:szCs w:val="18"/>
              </w:rPr>
              <w:t>UEs</w:t>
            </w:r>
            <w:proofErr w:type="spellEnd"/>
            <w:r w:rsidRPr="002A04F3">
              <w:rPr>
                <w:sz w:val="20"/>
                <w:szCs w:val="18"/>
              </w:rPr>
              <w:t xml:space="preserve"> (i.e., the configured </w:t>
            </w:r>
            <w:proofErr w:type="spellStart"/>
            <w:r w:rsidRPr="002A04F3">
              <w:rPr>
                <w:sz w:val="20"/>
                <w:szCs w:val="18"/>
              </w:rPr>
              <w:t>ROs</w:t>
            </w:r>
            <w:proofErr w:type="spellEnd"/>
            <w:r w:rsidRPr="002A04F3">
              <w:rPr>
                <w:sz w:val="20"/>
                <w:szCs w:val="18"/>
              </w:rPr>
              <w:t xml:space="preserve"> in SBFD symbols, if configured as flexible by </w:t>
            </w:r>
            <w:proofErr w:type="spellStart"/>
            <w:r w:rsidRPr="002A04F3">
              <w:rPr>
                <w:i/>
                <w:iCs/>
                <w:sz w:val="20"/>
                <w:szCs w:val="18"/>
              </w:rPr>
              <w:t>tdd</w:t>
            </w:r>
            <w:proofErr w:type="spellEnd"/>
            <w:r w:rsidRPr="002A04F3">
              <w:rPr>
                <w:i/>
                <w:iCs/>
                <w:sz w:val="20"/>
                <w:szCs w:val="18"/>
              </w:rPr>
              <w:t>-UL-DL-</w:t>
            </w:r>
            <w:proofErr w:type="spellStart"/>
            <w:r w:rsidRPr="002A04F3">
              <w:rPr>
                <w:i/>
                <w:iCs/>
                <w:sz w:val="20"/>
                <w:szCs w:val="18"/>
              </w:rPr>
              <w:t>ConfigurationCommon</w:t>
            </w:r>
            <w:proofErr w:type="spellEnd"/>
            <w:r w:rsidRPr="002A04F3">
              <w:rPr>
                <w:sz w:val="20"/>
                <w:szCs w:val="18"/>
              </w:rPr>
              <w:t xml:space="preserve">, are within the UL usable </w:t>
            </w:r>
            <w:proofErr w:type="spellStart"/>
            <w:r w:rsidRPr="002A04F3">
              <w:rPr>
                <w:sz w:val="20"/>
                <w:szCs w:val="18"/>
              </w:rPr>
              <w:t>PRBs</w:t>
            </w:r>
            <w:proofErr w:type="spellEnd"/>
            <w:r w:rsidRPr="002A04F3">
              <w:rPr>
                <w:sz w:val="20"/>
                <w:szCs w:val="18"/>
              </w:rPr>
              <w:t>)</w:t>
            </w:r>
          </w:p>
          <w:p w14:paraId="5DF73D94" w14:textId="77777777" w:rsidR="002A04F3" w:rsidRPr="002A04F3" w:rsidRDefault="002A04F3" w:rsidP="002A04F3">
            <w:pPr>
              <w:pStyle w:val="ListParagraph"/>
              <w:numPr>
                <w:ilvl w:val="0"/>
                <w:numId w:val="28"/>
              </w:numPr>
              <w:spacing w:line="240" w:lineRule="auto"/>
              <w:jc w:val="left"/>
              <w:rPr>
                <w:sz w:val="20"/>
                <w:szCs w:val="18"/>
              </w:rPr>
            </w:pPr>
            <w:r w:rsidRPr="002A04F3">
              <w:rPr>
                <w:sz w:val="20"/>
                <w:szCs w:val="18"/>
              </w:rPr>
              <w:t xml:space="preserve">the RO in SBFD symbols configured as downlink by </w:t>
            </w:r>
            <w:proofErr w:type="spellStart"/>
            <w:r w:rsidRPr="002A04F3">
              <w:rPr>
                <w:i/>
                <w:iCs/>
                <w:sz w:val="20"/>
                <w:szCs w:val="18"/>
              </w:rPr>
              <w:t>tdd</w:t>
            </w:r>
            <w:proofErr w:type="spellEnd"/>
            <w:r w:rsidRPr="002A04F3">
              <w:rPr>
                <w:i/>
                <w:iCs/>
                <w:sz w:val="20"/>
                <w:szCs w:val="18"/>
              </w:rPr>
              <w:t>-UL-DL-</w:t>
            </w:r>
            <w:proofErr w:type="spellStart"/>
            <w:r w:rsidRPr="002A04F3">
              <w:rPr>
                <w:i/>
                <w:iCs/>
                <w:sz w:val="20"/>
                <w:szCs w:val="18"/>
              </w:rPr>
              <w:t>ConfigurationCommon</w:t>
            </w:r>
            <w:proofErr w:type="spellEnd"/>
            <w:r w:rsidRPr="002A04F3">
              <w:rPr>
                <w:sz w:val="20"/>
                <w:szCs w:val="18"/>
              </w:rPr>
              <w:t xml:space="preserve"> is valid if at least:</w:t>
            </w:r>
          </w:p>
          <w:p w14:paraId="71023E17" w14:textId="77777777" w:rsidR="002A04F3" w:rsidRPr="002A04F3" w:rsidRDefault="002A04F3" w:rsidP="002A04F3">
            <w:pPr>
              <w:pStyle w:val="ListParagraph"/>
              <w:numPr>
                <w:ilvl w:val="1"/>
                <w:numId w:val="28"/>
              </w:numPr>
              <w:spacing w:line="240" w:lineRule="auto"/>
              <w:jc w:val="left"/>
              <w:rPr>
                <w:sz w:val="20"/>
                <w:szCs w:val="18"/>
              </w:rPr>
            </w:pPr>
            <w:r w:rsidRPr="002A04F3">
              <w:rPr>
                <w:sz w:val="20"/>
                <w:szCs w:val="18"/>
              </w:rPr>
              <w:t xml:space="preserve">Time and frequency resource of the RO are fully within UL usable </w:t>
            </w:r>
            <w:proofErr w:type="spellStart"/>
            <w:r w:rsidRPr="002A04F3">
              <w:rPr>
                <w:sz w:val="20"/>
                <w:szCs w:val="18"/>
              </w:rPr>
              <w:t>PRBs</w:t>
            </w:r>
            <w:proofErr w:type="spellEnd"/>
            <w:r w:rsidRPr="002A04F3">
              <w:rPr>
                <w:sz w:val="20"/>
                <w:szCs w:val="18"/>
              </w:rPr>
              <w:t>, and not overlapped with SSB</w:t>
            </w:r>
          </w:p>
          <w:p w14:paraId="7E14E4B3" w14:textId="77777777" w:rsidR="002A04F3" w:rsidRPr="002A04F3" w:rsidRDefault="002A04F3" w:rsidP="002A04F3">
            <w:pPr>
              <w:pStyle w:val="ListParagraph"/>
              <w:numPr>
                <w:ilvl w:val="1"/>
                <w:numId w:val="28"/>
              </w:numPr>
              <w:spacing w:line="240" w:lineRule="auto"/>
              <w:jc w:val="left"/>
              <w:rPr>
                <w:sz w:val="20"/>
                <w:szCs w:val="18"/>
              </w:rPr>
            </w:pPr>
            <w:r w:rsidRPr="002A04F3">
              <w:rPr>
                <w:sz w:val="20"/>
                <w:szCs w:val="18"/>
              </w:rPr>
              <w:t>FFS: Other condition.</w:t>
            </w:r>
          </w:p>
          <w:p w14:paraId="0D0C78E8" w14:textId="267AB4E4" w:rsidR="002A04F3" w:rsidRPr="002A04F3" w:rsidRDefault="002A04F3" w:rsidP="002A04F3">
            <w:pPr>
              <w:rPr>
                <w:iCs/>
                <w:szCs w:val="20"/>
              </w:rPr>
            </w:pPr>
            <w:r w:rsidRPr="002A04F3">
              <w:rPr>
                <w:sz w:val="20"/>
                <w:szCs w:val="18"/>
              </w:rPr>
              <w:t xml:space="preserve">Note: </w:t>
            </w:r>
            <w:proofErr w:type="spellStart"/>
            <w:r w:rsidRPr="002A04F3">
              <w:rPr>
                <w:sz w:val="20"/>
                <w:szCs w:val="18"/>
              </w:rPr>
              <w:t>For</w:t>
            </w:r>
            <w:proofErr w:type="spellEnd"/>
            <w:r w:rsidRPr="002A04F3">
              <w:rPr>
                <w:sz w:val="20"/>
                <w:szCs w:val="18"/>
              </w:rPr>
              <w:t xml:space="preserve"> </w:t>
            </w:r>
            <w:proofErr w:type="spellStart"/>
            <w:r w:rsidRPr="002A04F3">
              <w:rPr>
                <w:sz w:val="20"/>
                <w:szCs w:val="18"/>
              </w:rPr>
              <w:t>the</w:t>
            </w:r>
            <w:proofErr w:type="spellEnd"/>
            <w:r w:rsidRPr="002A04F3">
              <w:rPr>
                <w:sz w:val="20"/>
                <w:szCs w:val="18"/>
              </w:rPr>
              <w:t xml:space="preserve"> </w:t>
            </w:r>
            <w:proofErr w:type="spellStart"/>
            <w:r w:rsidRPr="002A04F3">
              <w:rPr>
                <w:sz w:val="20"/>
                <w:szCs w:val="18"/>
              </w:rPr>
              <w:t>case</w:t>
            </w:r>
            <w:proofErr w:type="spellEnd"/>
            <w:r w:rsidRPr="002A04F3">
              <w:rPr>
                <w:sz w:val="20"/>
                <w:szCs w:val="18"/>
              </w:rPr>
              <w:t xml:space="preserve"> </w:t>
            </w:r>
            <w:proofErr w:type="spellStart"/>
            <w:r w:rsidRPr="002A04F3">
              <w:rPr>
                <w:sz w:val="20"/>
                <w:szCs w:val="18"/>
              </w:rPr>
              <w:t>that</w:t>
            </w:r>
            <w:proofErr w:type="spellEnd"/>
            <w:r w:rsidRPr="002A04F3">
              <w:rPr>
                <w:sz w:val="20"/>
                <w:szCs w:val="18"/>
              </w:rPr>
              <w:t xml:space="preserve"> all </w:t>
            </w:r>
            <w:proofErr w:type="spellStart"/>
            <w:r w:rsidRPr="002A04F3">
              <w:rPr>
                <w:sz w:val="20"/>
                <w:szCs w:val="18"/>
              </w:rPr>
              <w:t>the</w:t>
            </w:r>
            <w:proofErr w:type="spellEnd"/>
            <w:r w:rsidRPr="002A04F3">
              <w:rPr>
                <w:sz w:val="20"/>
                <w:szCs w:val="18"/>
              </w:rPr>
              <w:t xml:space="preserve"> SBFD </w:t>
            </w:r>
            <w:proofErr w:type="spellStart"/>
            <w:r w:rsidRPr="002A04F3">
              <w:rPr>
                <w:sz w:val="20"/>
                <w:szCs w:val="18"/>
              </w:rPr>
              <w:t>symbols</w:t>
            </w:r>
            <w:proofErr w:type="spellEnd"/>
            <w:r w:rsidRPr="002A04F3">
              <w:rPr>
                <w:sz w:val="20"/>
                <w:szCs w:val="18"/>
              </w:rPr>
              <w:t xml:space="preserve"> </w:t>
            </w:r>
            <w:proofErr w:type="spellStart"/>
            <w:r w:rsidRPr="002A04F3">
              <w:rPr>
                <w:sz w:val="20"/>
                <w:szCs w:val="18"/>
              </w:rPr>
              <w:t>configured</w:t>
            </w:r>
            <w:proofErr w:type="spellEnd"/>
            <w:r w:rsidRPr="002A04F3">
              <w:rPr>
                <w:sz w:val="20"/>
                <w:szCs w:val="18"/>
              </w:rPr>
              <w:t xml:space="preserve"> </w:t>
            </w:r>
            <w:proofErr w:type="spellStart"/>
            <w:r w:rsidRPr="002A04F3">
              <w:rPr>
                <w:sz w:val="20"/>
                <w:szCs w:val="18"/>
              </w:rPr>
              <w:t>as</w:t>
            </w:r>
            <w:proofErr w:type="spellEnd"/>
            <w:r w:rsidRPr="002A04F3">
              <w:rPr>
                <w:sz w:val="20"/>
                <w:szCs w:val="18"/>
              </w:rPr>
              <w:t xml:space="preserve"> </w:t>
            </w:r>
            <w:proofErr w:type="spellStart"/>
            <w:r w:rsidRPr="002A04F3">
              <w:rPr>
                <w:sz w:val="20"/>
                <w:szCs w:val="18"/>
              </w:rPr>
              <w:t>downlink</w:t>
            </w:r>
            <w:proofErr w:type="spellEnd"/>
            <w:r w:rsidRPr="002A04F3">
              <w:rPr>
                <w:sz w:val="20"/>
                <w:szCs w:val="18"/>
              </w:rPr>
              <w:t xml:space="preserve"> </w:t>
            </w:r>
            <w:proofErr w:type="spellStart"/>
            <w:r w:rsidRPr="002A04F3">
              <w:rPr>
                <w:sz w:val="20"/>
                <w:szCs w:val="18"/>
              </w:rPr>
              <w:t>by</w:t>
            </w:r>
            <w:proofErr w:type="spellEnd"/>
            <w:r w:rsidRPr="002A04F3">
              <w:rPr>
                <w:sz w:val="20"/>
                <w:szCs w:val="18"/>
              </w:rPr>
              <w:t xml:space="preserve"> </w:t>
            </w:r>
            <w:proofErr w:type="spellStart"/>
            <w:r w:rsidRPr="002A04F3">
              <w:rPr>
                <w:i/>
                <w:iCs/>
                <w:sz w:val="20"/>
                <w:szCs w:val="18"/>
              </w:rPr>
              <w:t>tdd</w:t>
            </w:r>
            <w:proofErr w:type="spellEnd"/>
            <w:r w:rsidRPr="002A04F3">
              <w:rPr>
                <w:i/>
                <w:iCs/>
                <w:sz w:val="20"/>
                <w:szCs w:val="18"/>
              </w:rPr>
              <w:t>-UL-DL-</w:t>
            </w:r>
            <w:proofErr w:type="spellStart"/>
            <w:r w:rsidRPr="002A04F3">
              <w:rPr>
                <w:i/>
                <w:iCs/>
                <w:sz w:val="20"/>
                <w:szCs w:val="18"/>
              </w:rPr>
              <w:t>ConfigurationCommon</w:t>
            </w:r>
            <w:proofErr w:type="spellEnd"/>
            <w:r w:rsidRPr="002A04F3">
              <w:rPr>
                <w:i/>
                <w:iCs/>
                <w:sz w:val="20"/>
                <w:szCs w:val="18"/>
              </w:rPr>
              <w:t>,</w:t>
            </w:r>
            <w:r w:rsidRPr="002A04F3">
              <w:rPr>
                <w:sz w:val="20"/>
                <w:szCs w:val="18"/>
              </w:rPr>
              <w:t xml:space="preserve"> </w:t>
            </w:r>
            <w:proofErr w:type="spellStart"/>
            <w:r w:rsidRPr="002A04F3">
              <w:rPr>
                <w:sz w:val="20"/>
                <w:szCs w:val="18"/>
              </w:rPr>
              <w:t>there</w:t>
            </w:r>
            <w:proofErr w:type="spellEnd"/>
            <w:r w:rsidRPr="002A04F3">
              <w:rPr>
                <w:sz w:val="20"/>
                <w:szCs w:val="18"/>
              </w:rPr>
              <w:t xml:space="preserve"> </w:t>
            </w:r>
            <w:proofErr w:type="spellStart"/>
            <w:r w:rsidRPr="002A04F3">
              <w:rPr>
                <w:sz w:val="20"/>
                <w:szCs w:val="18"/>
              </w:rPr>
              <w:t>is</w:t>
            </w:r>
            <w:proofErr w:type="spellEnd"/>
            <w:r w:rsidRPr="002A04F3">
              <w:rPr>
                <w:sz w:val="20"/>
                <w:szCs w:val="18"/>
              </w:rPr>
              <w:t xml:space="preserve"> </w:t>
            </w:r>
            <w:proofErr w:type="spellStart"/>
            <w:r w:rsidRPr="002A04F3">
              <w:rPr>
                <w:sz w:val="20"/>
                <w:szCs w:val="18"/>
              </w:rPr>
              <w:t>no</w:t>
            </w:r>
            <w:proofErr w:type="spellEnd"/>
            <w:r w:rsidRPr="002A04F3">
              <w:rPr>
                <w:sz w:val="20"/>
                <w:szCs w:val="18"/>
              </w:rPr>
              <w:t xml:space="preserve"> </w:t>
            </w:r>
            <w:proofErr w:type="spellStart"/>
            <w:r w:rsidRPr="002A04F3">
              <w:rPr>
                <w:sz w:val="20"/>
                <w:szCs w:val="18"/>
              </w:rPr>
              <w:t>restriction</w:t>
            </w:r>
            <w:proofErr w:type="spellEnd"/>
            <w:r w:rsidRPr="002A04F3">
              <w:rPr>
                <w:sz w:val="20"/>
                <w:szCs w:val="18"/>
              </w:rPr>
              <w:t xml:space="preserve"> </w:t>
            </w:r>
            <w:proofErr w:type="spellStart"/>
            <w:r w:rsidRPr="002A04F3">
              <w:rPr>
                <w:sz w:val="20"/>
                <w:szCs w:val="18"/>
              </w:rPr>
              <w:t>that</w:t>
            </w:r>
            <w:proofErr w:type="spellEnd"/>
            <w:r w:rsidRPr="002A04F3">
              <w:rPr>
                <w:sz w:val="20"/>
                <w:szCs w:val="18"/>
              </w:rPr>
              <w:t xml:space="preserve"> all </w:t>
            </w:r>
            <w:proofErr w:type="spellStart"/>
            <w:r w:rsidRPr="002A04F3">
              <w:rPr>
                <w:sz w:val="20"/>
                <w:szCs w:val="18"/>
              </w:rPr>
              <w:t>the</w:t>
            </w:r>
            <w:proofErr w:type="spellEnd"/>
            <w:r w:rsidRPr="002A04F3">
              <w:rPr>
                <w:sz w:val="20"/>
                <w:szCs w:val="18"/>
              </w:rPr>
              <w:t xml:space="preserve"> </w:t>
            </w:r>
            <w:proofErr w:type="spellStart"/>
            <w:r w:rsidRPr="002A04F3">
              <w:rPr>
                <w:sz w:val="20"/>
                <w:szCs w:val="18"/>
              </w:rPr>
              <w:t>configured</w:t>
            </w:r>
            <w:proofErr w:type="spellEnd"/>
            <w:r w:rsidRPr="002A04F3">
              <w:rPr>
                <w:sz w:val="20"/>
                <w:szCs w:val="18"/>
              </w:rPr>
              <w:t xml:space="preserve"> ROs in SBFD </w:t>
            </w:r>
            <w:proofErr w:type="spellStart"/>
            <w:r w:rsidRPr="002A04F3">
              <w:rPr>
                <w:sz w:val="20"/>
                <w:szCs w:val="18"/>
              </w:rPr>
              <w:t>symbols</w:t>
            </w:r>
            <w:proofErr w:type="spellEnd"/>
            <w:r w:rsidRPr="002A04F3">
              <w:rPr>
                <w:sz w:val="20"/>
                <w:szCs w:val="18"/>
              </w:rPr>
              <w:t xml:space="preserve"> </w:t>
            </w:r>
            <w:proofErr w:type="spellStart"/>
            <w:r w:rsidRPr="002A04F3">
              <w:rPr>
                <w:sz w:val="20"/>
                <w:szCs w:val="18"/>
              </w:rPr>
              <w:t>should</w:t>
            </w:r>
            <w:proofErr w:type="spellEnd"/>
            <w:r w:rsidRPr="002A04F3">
              <w:rPr>
                <w:sz w:val="20"/>
                <w:szCs w:val="18"/>
              </w:rPr>
              <w:t xml:space="preserve"> </w:t>
            </w:r>
            <w:proofErr w:type="spellStart"/>
            <w:r w:rsidRPr="002A04F3">
              <w:rPr>
                <w:sz w:val="20"/>
                <w:szCs w:val="18"/>
              </w:rPr>
              <w:t>be</w:t>
            </w:r>
            <w:proofErr w:type="spellEnd"/>
            <w:r w:rsidRPr="002A04F3">
              <w:rPr>
                <w:sz w:val="20"/>
                <w:szCs w:val="18"/>
              </w:rPr>
              <w:t xml:space="preserve"> </w:t>
            </w:r>
            <w:proofErr w:type="spellStart"/>
            <w:r w:rsidRPr="002A04F3">
              <w:rPr>
                <w:sz w:val="20"/>
                <w:szCs w:val="18"/>
              </w:rPr>
              <w:t>within</w:t>
            </w:r>
            <w:proofErr w:type="spellEnd"/>
            <w:r w:rsidRPr="002A04F3">
              <w:rPr>
                <w:sz w:val="20"/>
                <w:szCs w:val="18"/>
              </w:rPr>
              <w:t xml:space="preserve"> </w:t>
            </w:r>
            <w:proofErr w:type="spellStart"/>
            <w:r w:rsidRPr="002A04F3">
              <w:rPr>
                <w:sz w:val="20"/>
                <w:szCs w:val="18"/>
              </w:rPr>
              <w:t>the</w:t>
            </w:r>
            <w:proofErr w:type="spellEnd"/>
            <w:r w:rsidRPr="002A04F3">
              <w:rPr>
                <w:sz w:val="20"/>
                <w:szCs w:val="18"/>
              </w:rPr>
              <w:t xml:space="preserve"> UL </w:t>
            </w:r>
            <w:proofErr w:type="spellStart"/>
            <w:r w:rsidRPr="002A04F3">
              <w:rPr>
                <w:sz w:val="20"/>
                <w:szCs w:val="18"/>
              </w:rPr>
              <w:t>usable</w:t>
            </w:r>
            <w:proofErr w:type="spellEnd"/>
            <w:r w:rsidRPr="002A04F3">
              <w:rPr>
                <w:sz w:val="20"/>
                <w:szCs w:val="18"/>
              </w:rPr>
              <w:t xml:space="preserve"> PRBs.</w:t>
            </w:r>
          </w:p>
        </w:tc>
      </w:tr>
    </w:tbl>
    <w:p w14:paraId="45FE0CCD" w14:textId="77777777" w:rsidR="002A04F3" w:rsidRPr="002A04F3" w:rsidRDefault="002A04F3" w:rsidP="002A04F3"/>
    <w:p w14:paraId="78A0E663" w14:textId="2A93DAE3" w:rsidR="007E7D7F" w:rsidRDefault="007E7D7F" w:rsidP="00DB5558">
      <w:r w:rsidRPr="007E7D7F">
        <w:t>For the single RACH configuration</w:t>
      </w:r>
      <w:r w:rsidRPr="009B6DCC">
        <w:t>,</w:t>
      </w:r>
      <w:r w:rsidR="009B6DCC" w:rsidRPr="009B6DCC">
        <w:t xml:space="preserve"> </w:t>
      </w:r>
      <w:proofErr w:type="gramStart"/>
      <w:r w:rsidR="009B6DCC" w:rsidRPr="009B6DCC">
        <w:t>in order to</w:t>
      </w:r>
      <w:proofErr w:type="gramEnd"/>
      <w:r w:rsidR="009B6DCC" w:rsidRPr="009B6DCC">
        <w:t xml:space="preserve"> </w:t>
      </w:r>
      <w:r w:rsidR="009B6DCC">
        <w:t xml:space="preserve">combine legacy ROs, advantageously located at the carrier edge to make better use of the remaining UL resources, with new SBFD ROs, assumed to be located in the </w:t>
      </w:r>
      <w:proofErr w:type="spellStart"/>
      <w:r w:rsidR="009B6DCC">
        <w:t>center</w:t>
      </w:r>
      <w:proofErr w:type="spellEnd"/>
      <w:r w:rsidR="009B6DCC">
        <w:t xml:space="preserve"> of the carrier, a new </w:t>
      </w:r>
      <w:r w:rsidR="009D70B5">
        <w:t>interpretation of msg1-FrequencyStart, that for legacy RACH currently indicates an offset</w:t>
      </w:r>
      <w:r w:rsidR="0040104E">
        <w:t xml:space="preserve"> for the 1</w:t>
      </w:r>
      <w:r w:rsidR="0040104E" w:rsidRPr="0040104E">
        <w:rPr>
          <w:vertAlign w:val="superscript"/>
        </w:rPr>
        <w:t>st</w:t>
      </w:r>
      <w:r w:rsidR="0040104E">
        <w:t xml:space="preserve"> RO</w:t>
      </w:r>
      <w:r w:rsidR="009D70B5">
        <w:t xml:space="preserve"> to </w:t>
      </w:r>
      <w:r w:rsidR="00153B58">
        <w:t>PRB 0</w:t>
      </w:r>
      <w:r w:rsidR="00CA4D7D">
        <w:t xml:space="preserve"> of the active BWP</w:t>
      </w:r>
      <w:r w:rsidR="009D70B5">
        <w:t xml:space="preserve">. A simple solution would be to reinterpret msg1-FrequencyStart to instead indicate an offset </w:t>
      </w:r>
      <w:r w:rsidR="0040104E">
        <w:t>of the 1</w:t>
      </w:r>
      <w:r w:rsidR="0040104E" w:rsidRPr="0040104E">
        <w:rPr>
          <w:vertAlign w:val="superscript"/>
        </w:rPr>
        <w:t>st</w:t>
      </w:r>
      <w:r w:rsidR="0040104E">
        <w:t xml:space="preserve"> RO to</w:t>
      </w:r>
      <w:r w:rsidR="009D70B5">
        <w:t xml:space="preserve"> the UL subband</w:t>
      </w:r>
      <w:r w:rsidR="0040104E">
        <w:t xml:space="preserve">, see left </w:t>
      </w:r>
      <w:r w:rsidR="00215C1B">
        <w:t>part of</w:t>
      </w:r>
      <w:r w:rsidR="0040104E">
        <w:t xml:space="preserve"> </w:t>
      </w:r>
      <w:r w:rsidR="0040104E">
        <w:rPr>
          <w:highlight w:val="yellow"/>
        </w:rPr>
        <w:fldChar w:fldCharType="begin"/>
      </w:r>
      <w:r w:rsidR="0040104E">
        <w:instrText xml:space="preserve"> REF _Ref165883009 \h </w:instrText>
      </w:r>
      <w:r w:rsidR="0040104E">
        <w:rPr>
          <w:highlight w:val="yellow"/>
        </w:rPr>
      </w:r>
      <w:r w:rsidR="0040104E">
        <w:rPr>
          <w:highlight w:val="yellow"/>
        </w:rPr>
        <w:fldChar w:fldCharType="separate"/>
      </w:r>
      <w:r w:rsidR="00560801">
        <w:t xml:space="preserve">Figure </w:t>
      </w:r>
      <w:r w:rsidR="00560801">
        <w:rPr>
          <w:noProof/>
        </w:rPr>
        <w:t>1</w:t>
      </w:r>
      <w:r w:rsidR="0040104E">
        <w:rPr>
          <w:highlight w:val="yellow"/>
        </w:rPr>
        <w:fldChar w:fldCharType="end"/>
      </w:r>
      <w:r w:rsidR="009D70B5">
        <w:t xml:space="preserve">. However, that implies that legacy ROs are always allocated towards the lower end of the carrier and not the upper end, as is illustrated in </w:t>
      </w:r>
      <w:r w:rsidR="005D1155">
        <w:t xml:space="preserve">middle </w:t>
      </w:r>
      <w:r w:rsidR="00215C1B">
        <w:t>part</w:t>
      </w:r>
      <w:r w:rsidR="0040104E">
        <w:t xml:space="preserve">, in which case the ROs may even fall outside the </w:t>
      </w:r>
      <w:r w:rsidR="00865C14">
        <w:t>UL subband</w:t>
      </w:r>
      <w:r w:rsidR="005D1155">
        <w:t>.</w:t>
      </w:r>
      <w:r w:rsidR="009D70B5">
        <w:t xml:space="preserve"> A more flexible solution would be to introduce a modulus operation such that </w:t>
      </w:r>
      <w:r w:rsidR="0040104E">
        <w:t>ROs are</w:t>
      </w:r>
      <w:r w:rsidR="005D1155">
        <w:t xml:space="preserve"> wrapped around the </w:t>
      </w:r>
      <w:r w:rsidR="009D70B5">
        <w:t>UL</w:t>
      </w:r>
      <w:r w:rsidR="005D1155">
        <w:t xml:space="preserve"> </w:t>
      </w:r>
      <w:r w:rsidR="009D70B5">
        <w:t xml:space="preserve">subband </w:t>
      </w:r>
      <w:r w:rsidR="005D1155">
        <w:t xml:space="preserve">bandwidth as is presented </w:t>
      </w:r>
      <w:r w:rsidR="00215C1B">
        <w:t>in</w:t>
      </w:r>
      <w:r w:rsidR="005D1155">
        <w:t xml:space="preserve"> the right </w:t>
      </w:r>
      <w:r w:rsidR="00215C1B">
        <w:t>part of</w:t>
      </w:r>
      <w:r w:rsidR="005D1155">
        <w:t xml:space="preserve"> </w:t>
      </w:r>
      <w:r w:rsidR="00215C1B">
        <w:fldChar w:fldCharType="begin"/>
      </w:r>
      <w:r w:rsidR="00215C1B">
        <w:instrText xml:space="preserve"> REF _Ref165883009 \h </w:instrText>
      </w:r>
      <w:r w:rsidR="00215C1B">
        <w:fldChar w:fldCharType="separate"/>
      </w:r>
      <w:r w:rsidR="00560801">
        <w:t xml:space="preserve">Figure </w:t>
      </w:r>
      <w:r w:rsidR="00560801">
        <w:rPr>
          <w:noProof/>
        </w:rPr>
        <w:t>1</w:t>
      </w:r>
      <w:r w:rsidR="00215C1B">
        <w:fldChar w:fldCharType="end"/>
      </w:r>
      <w:r w:rsidR="005D1155">
        <w:t>.</w:t>
      </w:r>
      <w:r w:rsidR="0040104E">
        <w:t xml:space="preserve"> Here, the last (brighter) RO is wrapped to the start of the UL subband instead of being invalidated.</w:t>
      </w:r>
      <w:r w:rsidR="005D1155">
        <w:t xml:space="preserve"> This solution is a reasonable trade-off between keeping legacy RO configurations and allowing </w:t>
      </w:r>
      <w:r w:rsidR="00E94C30">
        <w:t>SBFD ROs to reliably end up within the UL subband.</w:t>
      </w:r>
      <w:r w:rsidR="0040104E">
        <w:t xml:space="preserve"> Mathematically, this can be expressed as</w:t>
      </w:r>
    </w:p>
    <w:p w14:paraId="7BE23E77" w14:textId="358CA743" w:rsidR="0040104E" w:rsidRPr="004858E4" w:rsidRDefault="0040104E" w:rsidP="00DB5558">
      <w:pPr>
        <w:rPr>
          <w:rFonts w:eastAsiaTheme="minorEastAsia"/>
        </w:rPr>
      </w:pPr>
      <m:oMathPara>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 </m:t>
              </m:r>
              <m:sSup>
                <m:sSupPr>
                  <m:ctrlPr>
                    <w:rPr>
                      <w:rFonts w:ascii="Cambria Math" w:eastAsia="MS Mincho" w:hAnsi="Cambria Math" w:cs="Verdana"/>
                      <w:i/>
                      <w:szCs w:val="22"/>
                    </w:rPr>
                  </m:ctrlPr>
                </m:sSupPr>
                <m:e>
                  <m:r>
                    <m:rPr>
                      <m:nor/>
                    </m:rPr>
                    <w:rPr>
                      <w:rFonts w:ascii="Cambria Math" w:eastAsia="MS Mincho" w:hAnsi="Cambria Math" w:cs="Verdana"/>
                      <w:szCs w:val="22"/>
                    </w:rPr>
                    <m:t>1</m:t>
                  </m:r>
                </m:e>
                <m:sup>
                  <m:r>
                    <m:rPr>
                      <m:nor/>
                    </m:rPr>
                    <w:rPr>
                      <w:rFonts w:ascii="Cambria Math" w:eastAsia="MS Mincho" w:hAnsi="Cambria Math" w:cs="Verdana"/>
                      <w:szCs w:val="22"/>
                    </w:rPr>
                    <m:t>st</m:t>
                  </m:r>
                </m:sup>
              </m:sSup>
              <m:r>
                <m:rPr>
                  <m:nor/>
                </m:rPr>
                <w:rPr>
                  <w:rFonts w:ascii="Cambria Math" w:hAnsi="Cambria Math"/>
                </w:rPr>
                <m:t xml:space="preserve"> RO</m:t>
              </m:r>
            </m:sup>
          </m:sSubSup>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UL subband</m:t>
              </m:r>
            </m:sup>
          </m:sSubSup>
          <m:r>
            <w:rPr>
              <w:rFonts w:ascii="Cambria Math" w:hAnsi="Cambria Math"/>
            </w:rPr>
            <m:t>+</m:t>
          </m:r>
          <m:r>
            <m:rPr>
              <m:nor/>
            </m:rPr>
            <w:rPr>
              <w:rFonts w:ascii="Cambria Math" w:hAnsi="Cambria Math"/>
            </w:rPr>
            <m:t>msg1-FrequencyStart</m:t>
          </m:r>
        </m:oMath>
      </m:oMathPara>
    </w:p>
    <w:p w14:paraId="0E40188B" w14:textId="6F3A24AE" w:rsidR="004858E4" w:rsidRDefault="004858E4" w:rsidP="00DB5558">
      <w:pPr>
        <w:rPr>
          <w:rFonts w:eastAsiaTheme="minorEastAsia"/>
        </w:rPr>
      </w:pPr>
      <w:r>
        <w:rPr>
          <w:rFonts w:eastAsiaTheme="minorEastAsia"/>
        </w:rPr>
        <w:t xml:space="preserve">where </w:t>
      </w:r>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 </m:t>
            </m:r>
            <m:sSup>
              <m:sSupPr>
                <m:ctrlPr>
                  <w:rPr>
                    <w:rFonts w:ascii="Cambria Math" w:eastAsia="MS Mincho" w:hAnsi="Cambria Math" w:cs="Verdana"/>
                    <w:i/>
                    <w:szCs w:val="22"/>
                  </w:rPr>
                </m:ctrlPr>
              </m:sSupPr>
              <m:e>
                <m:r>
                  <m:rPr>
                    <m:nor/>
                  </m:rPr>
                  <w:rPr>
                    <w:rFonts w:ascii="Cambria Math" w:eastAsia="MS Mincho" w:hAnsi="Cambria Math" w:cs="Verdana"/>
                    <w:szCs w:val="22"/>
                  </w:rPr>
                  <m:t>1</m:t>
                </m:r>
              </m:e>
              <m:sup>
                <m:r>
                  <m:rPr>
                    <m:nor/>
                  </m:rPr>
                  <w:rPr>
                    <w:rFonts w:ascii="Cambria Math" w:eastAsia="MS Mincho" w:hAnsi="Cambria Math" w:cs="Verdana"/>
                    <w:szCs w:val="22"/>
                  </w:rPr>
                  <m:t>st</m:t>
                </m:r>
              </m:sup>
            </m:sSup>
            <m:r>
              <m:rPr>
                <m:nor/>
              </m:rPr>
              <w:rPr>
                <w:rFonts w:ascii="Cambria Math" w:hAnsi="Cambria Math"/>
              </w:rPr>
              <m:t xml:space="preserve"> RO</m:t>
            </m:r>
          </m:sup>
        </m:sSubSup>
      </m:oMath>
      <w:r>
        <w:rPr>
          <w:rFonts w:eastAsiaTheme="minorEastAsia"/>
        </w:rPr>
        <w:t xml:space="preserve"> and </w:t>
      </w:r>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UL subband</m:t>
            </m:r>
          </m:sup>
        </m:sSubSup>
      </m:oMath>
      <w:r>
        <w:rPr>
          <w:rFonts w:eastAsiaTheme="minorEastAsia"/>
        </w:rPr>
        <w:t xml:space="preserve"> is the start of the 1</w:t>
      </w:r>
      <w:r w:rsidRPr="004858E4">
        <w:rPr>
          <w:rFonts w:eastAsiaTheme="minorEastAsia"/>
          <w:vertAlign w:val="superscript"/>
        </w:rPr>
        <w:t>st</w:t>
      </w:r>
      <w:r>
        <w:rPr>
          <w:rFonts w:eastAsiaTheme="minorEastAsia"/>
        </w:rPr>
        <w:t xml:space="preserve"> RO and the start of the UL subband, respectively. The start of the n</w:t>
      </w:r>
      <w:r w:rsidRPr="004858E4">
        <w:rPr>
          <w:rFonts w:eastAsiaTheme="minorEastAsia"/>
          <w:vertAlign w:val="superscript"/>
        </w:rPr>
        <w:t>th</w:t>
      </w:r>
      <w:r>
        <w:rPr>
          <w:rFonts w:eastAsiaTheme="minorEastAsia"/>
        </w:rPr>
        <w:t xml:space="preserve"> RB</w:t>
      </w:r>
      <w:r w:rsidR="00756BA0">
        <w:rPr>
          <w:rFonts w:eastAsiaTheme="minorEastAsia"/>
        </w:rPr>
        <w:t xml:space="preserve">, </w:t>
      </w:r>
      <m:oMath>
        <m:sSubSup>
          <m:sSubSupPr>
            <m:ctrlPr>
              <w:rPr>
                <w:rFonts w:ascii="Cambria Math" w:eastAsia="MS Mincho" w:hAnsi="Cambria Math" w:cs="Verdana"/>
                <w:i/>
                <w:iCs/>
                <w:szCs w:val="22"/>
              </w:rPr>
            </m:ctrlPr>
          </m:sSubSupPr>
          <m:e>
            <m:r>
              <w:rPr>
                <w:rFonts w:ascii="Cambria Math" w:eastAsia="MS Mincho" w:hAnsi="Cambria Math" w:cs="Verdana"/>
                <w:szCs w:val="22"/>
              </w:rPr>
              <m:t>RB</m:t>
            </m:r>
          </m:e>
          <m:sub>
            <m:r>
              <w:rPr>
                <w:rFonts w:ascii="Cambria Math" w:eastAsia="MS Mincho" w:hAnsi="Cambria Math" w:cs="Verdana"/>
                <w:szCs w:val="22"/>
              </w:rPr>
              <m:t>start</m:t>
            </m:r>
          </m:sub>
          <m:sup>
            <m:sSup>
              <m:sSupPr>
                <m:ctrlPr>
                  <w:rPr>
                    <w:rFonts w:ascii="Cambria Math" w:eastAsia="MS Mincho" w:hAnsi="Cambria Math" w:cs="Verdana"/>
                    <w:i/>
                    <w:szCs w:val="22"/>
                  </w:rPr>
                </m:ctrlPr>
              </m:sSupPr>
              <m:e>
                <m:r>
                  <w:rPr>
                    <w:rFonts w:ascii="Cambria Math" w:eastAsia="MS Mincho" w:hAnsi="Cambria Math" w:cs="Verdana"/>
                    <w:szCs w:val="22"/>
                  </w:rPr>
                  <m:t>n</m:t>
                </m:r>
              </m:e>
              <m:sup>
                <m:r>
                  <w:rPr>
                    <w:rFonts w:ascii="Cambria Math" w:eastAsia="MS Mincho" w:hAnsi="Cambria Math" w:cs="Verdana"/>
                    <w:szCs w:val="22"/>
                  </w:rPr>
                  <m:t>th</m:t>
                </m:r>
              </m:sup>
            </m:sSup>
            <m:r>
              <w:rPr>
                <w:rFonts w:ascii="Cambria Math" w:eastAsia="MS Mincho" w:hAnsi="Cambria Math" w:cs="Verdana"/>
                <w:szCs w:val="22"/>
              </w:rPr>
              <m:t xml:space="preserve"> RO</m:t>
            </m:r>
          </m:sup>
        </m:sSubSup>
      </m:oMath>
      <w:r w:rsidR="00756BA0">
        <w:rPr>
          <w:rFonts w:eastAsiaTheme="minorEastAsia"/>
          <w:iCs/>
          <w:szCs w:val="22"/>
        </w:rPr>
        <w:t>,</w:t>
      </w:r>
      <w:r>
        <w:rPr>
          <w:rFonts w:eastAsiaTheme="minorEastAsia"/>
        </w:rPr>
        <w:t xml:space="preserve"> would then be determined as</w:t>
      </w:r>
      <w:r w:rsidR="00756BA0">
        <w:rPr>
          <w:rFonts w:eastAsiaTheme="minorEastAsia"/>
        </w:rPr>
        <w:t xml:space="preserve"> a modulus operation in relation to the number of RBs</w:t>
      </w:r>
      <w:r w:rsidR="00672F06">
        <w:rPr>
          <w:rFonts w:eastAsiaTheme="minorEastAsia"/>
        </w:rPr>
        <w:t xml:space="preserve"> </w:t>
      </w:r>
      <w:r w:rsidR="00756BA0">
        <w:rPr>
          <w:rFonts w:eastAsiaTheme="minorEastAsia"/>
        </w:rPr>
        <w:t xml:space="preserve">of the UL subband, </w:t>
      </w:r>
      <w:r w:rsidR="00672F06">
        <w:rPr>
          <w:rFonts w:eastAsiaTheme="minorEastAsia"/>
        </w:rPr>
        <w:t>less the RO bandwidth,</w:t>
      </w:r>
    </w:p>
    <w:p w14:paraId="4CD38587" w14:textId="36AD774F" w:rsidR="00756BA0" w:rsidRDefault="0029302E" w:rsidP="00756BA0">
      <w:pPr>
        <w:tabs>
          <w:tab w:val="left" w:pos="1247"/>
          <w:tab w:val="left" w:pos="2552"/>
          <w:tab w:val="left" w:pos="3856"/>
          <w:tab w:val="left" w:pos="5216"/>
          <w:tab w:val="left" w:pos="6464"/>
          <w:tab w:val="left" w:pos="7768"/>
        </w:tabs>
        <w:spacing w:after="120"/>
        <w:ind w:left="360"/>
        <w:rPr>
          <w:rFonts w:ascii="Ericsson Hilda" w:eastAsia="Ericsson Hilda" w:hAnsi="Ericsson Hilda" w:cs="Verdana"/>
          <w:szCs w:val="22"/>
        </w:rPr>
      </w:pPr>
      <m:oMathPara>
        <m:oMath>
          <m:sSubSup>
            <m:sSubSupPr>
              <m:ctrlPr>
                <w:rPr>
                  <w:rFonts w:ascii="Cambria Math" w:eastAsia="MS Mincho" w:hAnsi="Cambria Math" w:cs="Verdana"/>
                  <w:i/>
                  <w:iCs/>
                  <w:szCs w:val="22"/>
                </w:rPr>
              </m:ctrlPr>
            </m:sSubSupPr>
            <m:e>
              <m:r>
                <w:rPr>
                  <w:rFonts w:ascii="Cambria Math" w:eastAsia="MS Mincho" w:hAnsi="Cambria Math" w:cs="Verdana"/>
                  <w:szCs w:val="22"/>
                </w:rPr>
                <m:t>RB</m:t>
              </m:r>
            </m:e>
            <m:sub>
              <m:r>
                <w:rPr>
                  <w:rFonts w:ascii="Cambria Math" w:eastAsia="MS Mincho" w:hAnsi="Cambria Math" w:cs="Verdana"/>
                  <w:szCs w:val="22"/>
                </w:rPr>
                <m:t>start</m:t>
              </m:r>
            </m:sub>
            <m:sup>
              <m:sSup>
                <m:sSupPr>
                  <m:ctrlPr>
                    <w:rPr>
                      <w:rFonts w:ascii="Cambria Math" w:eastAsia="MS Mincho" w:hAnsi="Cambria Math" w:cs="Verdana"/>
                      <w:i/>
                      <w:szCs w:val="22"/>
                    </w:rPr>
                  </m:ctrlPr>
                </m:sSupPr>
                <m:e>
                  <m:r>
                    <w:rPr>
                      <w:rFonts w:ascii="Cambria Math" w:eastAsia="MS Mincho" w:hAnsi="Cambria Math" w:cs="Verdana"/>
                      <w:szCs w:val="22"/>
                    </w:rPr>
                    <m:t>n</m:t>
                  </m:r>
                </m:e>
                <m:sup>
                  <m:r>
                    <w:rPr>
                      <w:rFonts w:ascii="Cambria Math" w:eastAsia="MS Mincho" w:hAnsi="Cambria Math" w:cs="Verdana"/>
                      <w:szCs w:val="22"/>
                    </w:rPr>
                    <m:t>th</m:t>
                  </m:r>
                </m:sup>
              </m:sSup>
              <m:r>
                <w:rPr>
                  <w:rFonts w:ascii="Cambria Math" w:eastAsia="MS Mincho" w:hAnsi="Cambria Math" w:cs="Verdana"/>
                  <w:szCs w:val="22"/>
                </w:rPr>
                <m:t xml:space="preserve"> RO</m:t>
              </m:r>
            </m:sup>
          </m:sSubSup>
          <m:r>
            <w:rPr>
              <w:rFonts w:ascii="Cambria Math" w:eastAsia="MS Mincho" w:hAnsi="Cambria Math" w:cs="Verdana"/>
              <w:szCs w:val="22"/>
            </w:rPr>
            <m:t>=</m:t>
          </m:r>
          <m:sSubSup>
            <m:sSubSupPr>
              <m:ctrlPr>
                <w:rPr>
                  <w:rFonts w:ascii="Cambria Math" w:eastAsia="MS Mincho" w:hAnsi="Cambria Math" w:cs="Verdana"/>
                  <w:i/>
                  <w:szCs w:val="22"/>
                </w:rPr>
              </m:ctrlPr>
            </m:sSubSupPr>
            <m:e>
              <m:r>
                <w:rPr>
                  <w:rFonts w:ascii="Cambria Math" w:eastAsia="MS Mincho" w:hAnsi="Cambria Math" w:cs="Verdana"/>
                  <w:szCs w:val="22"/>
                </w:rPr>
                <m:t>RB</m:t>
              </m:r>
            </m:e>
            <m:sub>
              <m:r>
                <m:rPr>
                  <m:nor/>
                </m:rPr>
                <w:rPr>
                  <w:rFonts w:ascii="Cambria Math" w:eastAsia="MS Mincho" w:hAnsi="Cambria Math" w:cs="Verdana"/>
                  <w:szCs w:val="22"/>
                </w:rPr>
                <m:t>start</m:t>
              </m:r>
            </m:sub>
            <m:sup>
              <m:r>
                <m:rPr>
                  <m:nor/>
                </m:rPr>
                <w:rPr>
                  <w:rFonts w:ascii="Cambria Math" w:eastAsia="MS Mincho" w:hAnsi="Cambria Math" w:cs="Verdana"/>
                  <w:szCs w:val="22"/>
                </w:rPr>
                <m:t>UL subband</m:t>
              </m:r>
            </m:sup>
          </m:sSubSup>
          <m:r>
            <w:rPr>
              <w:rFonts w:ascii="Cambria Math" w:eastAsia="MS Mincho" w:hAnsi="Cambria Math" w:cs="Verdana"/>
              <w:szCs w:val="22"/>
            </w:rPr>
            <m:t>+</m:t>
          </m:r>
          <m:sSubSup>
            <m:sSubSupPr>
              <m:ctrlPr>
                <w:rPr>
                  <w:rFonts w:ascii="Cambria Math" w:eastAsia="MS Mincho" w:hAnsi="Cambria Math" w:cs="Verdana"/>
                  <w:i/>
                  <w:iCs/>
                  <w:szCs w:val="22"/>
                </w:rPr>
              </m:ctrlPr>
            </m:sSubSupPr>
            <m:e>
              <m:acc>
                <m:accPr>
                  <m:chr m:val="̃"/>
                  <m:ctrlPr>
                    <w:rPr>
                      <w:rFonts w:ascii="Cambria Math" w:eastAsia="MS Mincho" w:hAnsi="Cambria Math" w:cs="Verdana"/>
                      <w:i/>
                      <w:szCs w:val="22"/>
                    </w:rPr>
                  </m:ctrlPr>
                </m:accPr>
                <m:e>
                  <m:r>
                    <w:rPr>
                      <w:rFonts w:ascii="Cambria Math" w:eastAsia="MS Mincho" w:hAnsi="Cambria Math" w:cs="Verdana"/>
                      <w:szCs w:val="22"/>
                    </w:rPr>
                    <m:t>RB</m:t>
                  </m:r>
                </m:e>
              </m:acc>
            </m:e>
            <m:sub>
              <m:r>
                <w:rPr>
                  <w:rFonts w:ascii="Cambria Math" w:eastAsia="MS Mincho" w:hAnsi="Cambria Math" w:cs="Verdana"/>
                  <w:szCs w:val="22"/>
                </w:rPr>
                <m:t>start</m:t>
              </m:r>
            </m:sub>
            <m:sup>
              <m:sSup>
                <m:sSupPr>
                  <m:ctrlPr>
                    <w:rPr>
                      <w:rFonts w:ascii="Cambria Math" w:eastAsia="MS Mincho" w:hAnsi="Cambria Math" w:cs="Verdana"/>
                      <w:i/>
                      <w:szCs w:val="22"/>
                    </w:rPr>
                  </m:ctrlPr>
                </m:sSupPr>
                <m:e>
                  <m:r>
                    <w:rPr>
                      <w:rFonts w:ascii="Cambria Math" w:eastAsia="MS Mincho" w:hAnsi="Cambria Math" w:cs="Verdana"/>
                      <w:szCs w:val="22"/>
                    </w:rPr>
                    <m:t>n</m:t>
                  </m:r>
                </m:e>
                <m:sup>
                  <m:r>
                    <w:rPr>
                      <w:rFonts w:ascii="Cambria Math" w:eastAsia="MS Mincho" w:hAnsi="Cambria Math" w:cs="Verdana"/>
                      <w:szCs w:val="22"/>
                    </w:rPr>
                    <m:t>th</m:t>
                  </m:r>
                </m:sup>
              </m:sSup>
              <m:r>
                <w:rPr>
                  <w:rFonts w:ascii="Cambria Math" w:eastAsia="MS Mincho" w:hAnsi="Cambria Math" w:cs="Verdana"/>
                  <w:szCs w:val="22"/>
                </w:rPr>
                <m:t xml:space="preserve"> RO</m:t>
              </m:r>
            </m:sup>
          </m:sSubSup>
          <m:r>
            <m:rPr>
              <m:sty m:val="p"/>
            </m:rPr>
            <w:rPr>
              <w:rFonts w:ascii="Cambria Math" w:eastAsia="MS Mincho" w:hAnsi="Cambria Math" w:cs="Verdana"/>
              <w:szCs w:val="22"/>
            </w:rPr>
            <m:t>mod</m:t>
          </m:r>
          <m:d>
            <m:dPr>
              <m:ctrlPr>
                <w:rPr>
                  <w:rFonts w:ascii="Cambria Math" w:eastAsia="MS Mincho" w:hAnsi="Cambria Math" w:cs="Verdana"/>
                  <w:i/>
                  <w:szCs w:val="22"/>
                </w:rPr>
              </m:ctrlPr>
            </m:dPr>
            <m:e>
              <m:sSubSup>
                <m:sSubSupPr>
                  <m:ctrlPr>
                    <w:rPr>
                      <w:rFonts w:ascii="Cambria Math" w:eastAsia="MS Mincho" w:hAnsi="Cambria Math" w:cs="Verdana"/>
                      <w:i/>
                      <w:szCs w:val="22"/>
                    </w:rPr>
                  </m:ctrlPr>
                </m:sSubSupPr>
                <m:e>
                  <m:r>
                    <w:rPr>
                      <w:rFonts w:ascii="Cambria Math" w:eastAsia="MS Mincho" w:hAnsi="Cambria Math" w:cs="Verdana"/>
                      <w:szCs w:val="22"/>
                    </w:rPr>
                    <m:t>N</m:t>
                  </m:r>
                </m:e>
                <m:sub>
                  <m:r>
                    <m:rPr>
                      <m:nor/>
                    </m:rPr>
                    <w:rPr>
                      <w:rFonts w:ascii="Cambria Math" w:eastAsia="MS Mincho" w:hAnsi="Cambria Math" w:cs="Verdana"/>
                      <w:szCs w:val="22"/>
                    </w:rPr>
                    <m:t xml:space="preserve">UL subband </m:t>
                  </m:r>
                </m:sub>
                <m:sup>
                  <m:r>
                    <m:rPr>
                      <m:nor/>
                    </m:rPr>
                    <w:rPr>
                      <w:rFonts w:ascii="Cambria Math" w:eastAsia="MS Mincho" w:hAnsi="Cambria Math" w:cs="Verdana"/>
                      <w:szCs w:val="22"/>
                    </w:rPr>
                    <m:t>size</m:t>
                  </m:r>
                </m:sup>
              </m:sSubSup>
              <m:r>
                <m:rPr>
                  <m:nor/>
                </m:rPr>
                <w:rPr>
                  <w:rFonts w:ascii="Cambria Math" w:eastAsia="MS Mincho" w:hAnsi="Cambria Math" w:cs="Verdana"/>
                  <w:szCs w:val="22"/>
                </w:rPr>
                <m:t xml:space="preserve">- </m:t>
              </m:r>
              <m:sSubSup>
                <m:sSubSupPr>
                  <m:ctrlPr>
                    <w:rPr>
                      <w:rFonts w:ascii="Cambria Math" w:eastAsia="Ericsson Hilda" w:hAnsi="Cambria Math" w:cs="Verdana"/>
                      <w:i/>
                      <w:szCs w:val="22"/>
                    </w:rPr>
                  </m:ctrlPr>
                </m:sSubSupPr>
                <m:e>
                  <m:r>
                    <w:rPr>
                      <w:rFonts w:ascii="Cambria Math" w:eastAsia="Ericsson Hilda" w:hAnsi="Cambria Math" w:cs="Verdana"/>
                      <w:szCs w:val="22"/>
                    </w:rPr>
                    <m:t>N</m:t>
                  </m:r>
                </m:e>
                <m:sub>
                  <m:r>
                    <m:rPr>
                      <m:nor/>
                    </m:rPr>
                    <w:rPr>
                      <w:rFonts w:ascii="Cambria Math" w:eastAsia="Ericsson Hilda" w:hAnsi="Cambria Math" w:cs="Verdana"/>
                      <w:szCs w:val="22"/>
                    </w:rPr>
                    <m:t>RO</m:t>
                  </m:r>
                </m:sub>
                <m:sup>
                  <m:r>
                    <m:rPr>
                      <m:nor/>
                    </m:rPr>
                    <w:rPr>
                      <w:rFonts w:ascii="Cambria Math" w:eastAsia="Ericsson Hilda" w:hAnsi="Cambria Math" w:cs="Verdana"/>
                      <w:szCs w:val="22"/>
                    </w:rPr>
                    <m:t>size</m:t>
                  </m:r>
                </m:sup>
              </m:sSubSup>
            </m:e>
          </m:d>
        </m:oMath>
      </m:oMathPara>
    </w:p>
    <w:p w14:paraId="431FD661" w14:textId="10C8EE79" w:rsidR="00842A99" w:rsidRPr="00842A99" w:rsidRDefault="00672F06" w:rsidP="00DB5558">
      <w:pPr>
        <w:rPr>
          <w:rFonts w:eastAsiaTheme="minorEastAsia"/>
        </w:rPr>
      </w:pPr>
      <w:r>
        <w:rPr>
          <w:rFonts w:eastAsiaTheme="minorEastAsia"/>
        </w:rPr>
        <w:t>where the start of the n</w:t>
      </w:r>
      <w:r w:rsidRPr="00672F06">
        <w:rPr>
          <w:rFonts w:eastAsiaTheme="minorEastAsia"/>
          <w:vertAlign w:val="superscript"/>
        </w:rPr>
        <w:t>th</w:t>
      </w:r>
      <w:r>
        <w:rPr>
          <w:rFonts w:eastAsiaTheme="minorEastAsia"/>
        </w:rPr>
        <w:t xml:space="preserve"> RO</w:t>
      </w:r>
      <w:r w:rsidR="0074159D">
        <w:rPr>
          <w:rFonts w:eastAsiaTheme="minorEastAsia"/>
        </w:rPr>
        <w:t xml:space="preserve"> before and after adjustment is </w:t>
      </w:r>
      <m:oMath>
        <m:sSubSup>
          <m:sSubSupPr>
            <m:ctrlPr>
              <w:rPr>
                <w:rFonts w:ascii="Cambria Math" w:eastAsia="MS Mincho" w:hAnsi="Cambria Math" w:cs="Verdana"/>
                <w:i/>
                <w:iCs/>
                <w:szCs w:val="22"/>
              </w:rPr>
            </m:ctrlPr>
          </m:sSubSupPr>
          <m:e>
            <m:acc>
              <m:accPr>
                <m:chr m:val="̃"/>
                <m:ctrlPr>
                  <w:rPr>
                    <w:rFonts w:ascii="Cambria Math" w:eastAsia="MS Mincho" w:hAnsi="Cambria Math" w:cs="Verdana"/>
                    <w:i/>
                    <w:szCs w:val="22"/>
                  </w:rPr>
                </m:ctrlPr>
              </m:accPr>
              <m:e>
                <m:r>
                  <w:rPr>
                    <w:rFonts w:ascii="Cambria Math" w:eastAsia="MS Mincho" w:hAnsi="Cambria Math" w:cs="Verdana"/>
                    <w:szCs w:val="22"/>
                  </w:rPr>
                  <m:t>RB</m:t>
                </m:r>
              </m:e>
            </m:acc>
          </m:e>
          <m:sub>
            <m:r>
              <w:rPr>
                <w:rFonts w:ascii="Cambria Math" w:eastAsia="MS Mincho" w:hAnsi="Cambria Math" w:cs="Verdana"/>
                <w:szCs w:val="22"/>
              </w:rPr>
              <m:t>start</m:t>
            </m:r>
          </m:sub>
          <m:sup>
            <m:sSup>
              <m:sSupPr>
                <m:ctrlPr>
                  <w:rPr>
                    <w:rFonts w:ascii="Cambria Math" w:eastAsia="MS Mincho" w:hAnsi="Cambria Math" w:cs="Verdana"/>
                    <w:i/>
                    <w:szCs w:val="22"/>
                  </w:rPr>
                </m:ctrlPr>
              </m:sSupPr>
              <m:e>
                <m:r>
                  <w:rPr>
                    <w:rFonts w:ascii="Cambria Math" w:eastAsia="MS Mincho" w:hAnsi="Cambria Math" w:cs="Verdana"/>
                    <w:szCs w:val="22"/>
                  </w:rPr>
                  <m:t>n</m:t>
                </m:r>
              </m:e>
              <m:sup>
                <m:r>
                  <w:rPr>
                    <w:rFonts w:ascii="Cambria Math" w:eastAsia="MS Mincho" w:hAnsi="Cambria Math" w:cs="Verdana"/>
                    <w:szCs w:val="22"/>
                  </w:rPr>
                  <m:t>th</m:t>
                </m:r>
              </m:sup>
            </m:sSup>
            <m:r>
              <w:rPr>
                <w:rFonts w:ascii="Cambria Math" w:eastAsia="MS Mincho" w:hAnsi="Cambria Math" w:cs="Verdana"/>
                <w:szCs w:val="22"/>
              </w:rPr>
              <m:t xml:space="preserve"> RO</m:t>
            </m:r>
          </m:sup>
        </m:sSubSup>
      </m:oMath>
      <w:r w:rsidR="0074159D">
        <w:rPr>
          <w:rFonts w:eastAsiaTheme="minorEastAsia"/>
          <w:iCs/>
          <w:szCs w:val="22"/>
        </w:rPr>
        <w:t xml:space="preserve"> and </w:t>
      </w:r>
      <m:oMath>
        <m:sSubSup>
          <m:sSubSupPr>
            <m:ctrlPr>
              <w:rPr>
                <w:rFonts w:ascii="Cambria Math" w:eastAsia="MS Mincho" w:hAnsi="Cambria Math" w:cs="Verdana"/>
                <w:i/>
                <w:iCs/>
                <w:szCs w:val="22"/>
              </w:rPr>
            </m:ctrlPr>
          </m:sSubSupPr>
          <m:e>
            <m:r>
              <w:rPr>
                <w:rFonts w:ascii="Cambria Math" w:eastAsia="MS Mincho" w:hAnsi="Cambria Math" w:cs="Verdana"/>
                <w:szCs w:val="22"/>
              </w:rPr>
              <m:t>RB</m:t>
            </m:r>
          </m:e>
          <m:sub>
            <m:r>
              <w:rPr>
                <w:rFonts w:ascii="Cambria Math" w:eastAsia="MS Mincho" w:hAnsi="Cambria Math" w:cs="Verdana"/>
                <w:szCs w:val="22"/>
              </w:rPr>
              <m:t>start</m:t>
            </m:r>
          </m:sub>
          <m:sup>
            <m:sSup>
              <m:sSupPr>
                <m:ctrlPr>
                  <w:rPr>
                    <w:rFonts w:ascii="Cambria Math" w:eastAsia="MS Mincho" w:hAnsi="Cambria Math" w:cs="Verdana"/>
                    <w:i/>
                    <w:szCs w:val="22"/>
                  </w:rPr>
                </m:ctrlPr>
              </m:sSupPr>
              <m:e>
                <m:r>
                  <w:rPr>
                    <w:rFonts w:ascii="Cambria Math" w:eastAsia="MS Mincho" w:hAnsi="Cambria Math" w:cs="Verdana"/>
                    <w:szCs w:val="22"/>
                  </w:rPr>
                  <m:t>n</m:t>
                </m:r>
              </m:e>
              <m:sup>
                <m:r>
                  <w:rPr>
                    <w:rFonts w:ascii="Cambria Math" w:eastAsia="MS Mincho" w:hAnsi="Cambria Math" w:cs="Verdana"/>
                    <w:szCs w:val="22"/>
                  </w:rPr>
                  <m:t>th</m:t>
                </m:r>
              </m:sup>
            </m:sSup>
            <m:r>
              <w:rPr>
                <w:rFonts w:ascii="Cambria Math" w:eastAsia="MS Mincho" w:hAnsi="Cambria Math" w:cs="Verdana"/>
                <w:szCs w:val="22"/>
              </w:rPr>
              <m:t xml:space="preserve"> RO</m:t>
            </m:r>
          </m:sup>
        </m:sSubSup>
      </m:oMath>
      <w:r w:rsidR="0074159D">
        <w:rPr>
          <w:rFonts w:eastAsiaTheme="minorEastAsia"/>
          <w:iCs/>
          <w:szCs w:val="22"/>
        </w:rPr>
        <w:t xml:space="preserve">, respectively, and the </w:t>
      </w:r>
      <w:r w:rsidR="0074159D">
        <w:rPr>
          <w:rFonts w:eastAsiaTheme="minorEastAsia"/>
          <w:szCs w:val="22"/>
        </w:rPr>
        <w:t xml:space="preserve">UL subband bandwidth is </w:t>
      </w:r>
      <m:oMath>
        <m:sSubSup>
          <m:sSubSupPr>
            <m:ctrlPr>
              <w:rPr>
                <w:rFonts w:ascii="Cambria Math" w:eastAsia="MS Mincho" w:hAnsi="Cambria Math" w:cs="Verdana"/>
                <w:i/>
                <w:szCs w:val="22"/>
              </w:rPr>
            </m:ctrlPr>
          </m:sSubSupPr>
          <m:e>
            <m:r>
              <w:rPr>
                <w:rFonts w:ascii="Cambria Math" w:eastAsia="MS Mincho" w:hAnsi="Cambria Math" w:cs="Verdana"/>
                <w:szCs w:val="22"/>
              </w:rPr>
              <m:t>N</m:t>
            </m:r>
          </m:e>
          <m:sub>
            <m:r>
              <m:rPr>
                <m:nor/>
              </m:rPr>
              <w:rPr>
                <w:rFonts w:ascii="Cambria Math" w:eastAsia="MS Mincho" w:hAnsi="Cambria Math" w:cs="Verdana"/>
                <w:szCs w:val="22"/>
              </w:rPr>
              <m:t xml:space="preserve">UL subband </m:t>
            </m:r>
          </m:sub>
          <m:sup>
            <m:r>
              <m:rPr>
                <m:nor/>
              </m:rPr>
              <w:rPr>
                <w:rFonts w:ascii="Cambria Math" w:eastAsia="MS Mincho" w:hAnsi="Cambria Math" w:cs="Verdana"/>
                <w:szCs w:val="22"/>
              </w:rPr>
              <m:t>size</m:t>
            </m:r>
          </m:sup>
        </m:sSubSup>
      </m:oMath>
      <w:r w:rsidR="0074159D">
        <w:rPr>
          <w:rFonts w:eastAsiaTheme="minorEastAsia"/>
          <w:szCs w:val="22"/>
        </w:rPr>
        <w:t xml:space="preserve"> and the RO size</w:t>
      </w:r>
      <w:r>
        <w:rPr>
          <w:rFonts w:eastAsiaTheme="minorEastAsia"/>
          <w:iCs/>
          <w:szCs w:val="22"/>
        </w:rPr>
        <w:t xml:space="preserve"> is </w:t>
      </w:r>
      <m:oMath>
        <m:sSubSup>
          <m:sSubSupPr>
            <m:ctrlPr>
              <w:rPr>
                <w:rFonts w:ascii="Cambria Math" w:eastAsia="Ericsson Hilda" w:hAnsi="Cambria Math" w:cs="Verdana"/>
                <w:i/>
                <w:szCs w:val="22"/>
              </w:rPr>
            </m:ctrlPr>
          </m:sSubSupPr>
          <m:e>
            <m:r>
              <w:rPr>
                <w:rFonts w:ascii="Cambria Math" w:eastAsia="Ericsson Hilda" w:hAnsi="Cambria Math" w:cs="Verdana"/>
                <w:szCs w:val="22"/>
              </w:rPr>
              <m:t>N</m:t>
            </m:r>
          </m:e>
          <m:sub>
            <m:r>
              <m:rPr>
                <m:nor/>
              </m:rPr>
              <w:rPr>
                <w:rFonts w:ascii="Cambria Math" w:eastAsia="Ericsson Hilda" w:hAnsi="Cambria Math" w:cs="Verdana"/>
                <w:szCs w:val="22"/>
              </w:rPr>
              <m:t>RO</m:t>
            </m:r>
          </m:sub>
          <m:sup>
            <m:r>
              <m:rPr>
                <m:nor/>
              </m:rPr>
              <w:rPr>
                <w:rFonts w:ascii="Cambria Math" w:eastAsia="Ericsson Hilda" w:hAnsi="Cambria Math" w:cs="Verdana"/>
                <w:szCs w:val="22"/>
              </w:rPr>
              <m:t>size</m:t>
            </m:r>
          </m:sup>
        </m:sSubSup>
      </m:oMath>
      <w:r w:rsidR="0074159D">
        <w:rPr>
          <w:rFonts w:eastAsiaTheme="minorEastAsia"/>
          <w:szCs w:val="22"/>
        </w:rPr>
        <w:t xml:space="preserve">, such that all ROs are always fully comprised </w:t>
      </w:r>
      <w:r>
        <w:rPr>
          <w:rFonts w:eastAsiaTheme="minorEastAsia"/>
          <w:iCs/>
          <w:szCs w:val="22"/>
        </w:rPr>
        <w:t>within the UL subband.</w:t>
      </w:r>
    </w:p>
    <w:p w14:paraId="7593B173" w14:textId="39279414" w:rsidR="005D1155" w:rsidRDefault="00D85F54" w:rsidP="005D1155">
      <w:pPr>
        <w:keepNext/>
      </w:pPr>
      <w:r>
        <w:object w:dxaOrig="12721" w:dyaOrig="5071" w14:anchorId="08036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91.8pt" o:ole="">
            <v:imagedata r:id="rId11" o:title=""/>
          </v:shape>
          <o:OLEObject Type="Embed" ProgID="Visio.Drawing.15" ShapeID="_x0000_i1025" DrawAspect="Content" ObjectID="_1776871627" r:id="rId12"/>
        </w:object>
      </w:r>
    </w:p>
    <w:p w14:paraId="56A25BE4" w14:textId="285C27C2" w:rsidR="008368F8" w:rsidRPr="00D42EE9" w:rsidRDefault="005D1155" w:rsidP="00D42EE9">
      <w:pPr>
        <w:pStyle w:val="Caption"/>
        <w:rPr>
          <w:highlight w:val="yellow"/>
        </w:rPr>
      </w:pPr>
      <w:bookmarkStart w:id="4" w:name="_Ref165883009"/>
      <w:r>
        <w:t xml:space="preserve">Figure </w:t>
      </w:r>
      <w:r w:rsidR="0029302E">
        <w:fldChar w:fldCharType="begin"/>
      </w:r>
      <w:r w:rsidR="0029302E">
        <w:instrText xml:space="preserve"> SEQ Figure \* ARABIC </w:instrText>
      </w:r>
      <w:r w:rsidR="0029302E">
        <w:fldChar w:fldCharType="separate"/>
      </w:r>
      <w:r w:rsidR="00560801">
        <w:rPr>
          <w:noProof/>
        </w:rPr>
        <w:t>1</w:t>
      </w:r>
      <w:r w:rsidR="0029302E">
        <w:rPr>
          <w:noProof/>
        </w:rPr>
        <w:fldChar w:fldCharType="end"/>
      </w:r>
      <w:bookmarkEnd w:id="4"/>
      <w:r>
        <w:t>:</w:t>
      </w:r>
      <w:r w:rsidR="00510F0E">
        <w:t xml:space="preserve"> Illustration of reinterpreted RO validation rules to match the </w:t>
      </w:r>
      <w:r w:rsidR="00CA4D7D">
        <w:t xml:space="preserve">first PRB of the </w:t>
      </w:r>
      <w:r w:rsidR="00510F0E">
        <w:t>UL subband instead of PRB 0</w:t>
      </w:r>
      <w:r w:rsidR="00CA4D7D">
        <w:t xml:space="preserve"> of the active UL BWP</w:t>
      </w:r>
      <w:r w:rsidR="00510F0E">
        <w:t xml:space="preserve">, for, left, ROs located at the bottom of a carrier, middle, ROs located at the top of a carrier, and right, with an additional RO </w:t>
      </w:r>
      <w:r w:rsidR="001C7DDE">
        <w:t xml:space="preserve">modulus </w:t>
      </w:r>
      <w:r w:rsidR="00510F0E">
        <w:t>wrapping confining ROs to within the UL subband.</w:t>
      </w:r>
    </w:p>
    <w:p w14:paraId="7D1A96D6" w14:textId="03A530F7" w:rsidR="00D454C2" w:rsidRPr="00D454C2" w:rsidRDefault="008368F8" w:rsidP="00D454C2">
      <w:pPr>
        <w:pStyle w:val="Proposal"/>
        <w:rPr>
          <w:lang w:val="x-none"/>
        </w:rPr>
      </w:pPr>
      <w:bookmarkStart w:id="5" w:name="_Ref165971304"/>
      <w:bookmarkStart w:id="6" w:name="_Toc166256776"/>
      <w:r>
        <w:t xml:space="preserve">For ROs within SBFD symbols, </w:t>
      </w:r>
      <w:r w:rsidR="00FB5242" w:rsidRPr="00DB5558">
        <w:rPr>
          <w:i/>
          <w:iCs/>
        </w:rPr>
        <w:t>msg1-FrequencyStart</w:t>
      </w:r>
      <w:r w:rsidR="00FB5242">
        <w:t xml:space="preserve"> indicates the offset </w:t>
      </w:r>
      <w:r w:rsidR="00672F06">
        <w:t>of the 1</w:t>
      </w:r>
      <w:r w:rsidR="00672F06" w:rsidRPr="00672F06">
        <w:rPr>
          <w:vertAlign w:val="superscript"/>
        </w:rPr>
        <w:t>st</w:t>
      </w:r>
      <w:r w:rsidR="00672F06">
        <w:t xml:space="preserve"> RO </w:t>
      </w:r>
      <w:r w:rsidR="00FB5242">
        <w:t>in relation to the start of the UL subband</w:t>
      </w:r>
      <w:r w:rsidR="00672F06">
        <w:t>. The start of the n</w:t>
      </w:r>
      <w:r w:rsidR="00672F06" w:rsidRPr="00672F06">
        <w:rPr>
          <w:vertAlign w:val="superscript"/>
        </w:rPr>
        <w:t>th</w:t>
      </w:r>
      <w:r w:rsidR="00672F06">
        <w:t xml:space="preserve"> RO is </w:t>
      </w:r>
      <w:r w:rsidR="00D454C2">
        <w:t>determined by the legacy start of the n</w:t>
      </w:r>
      <w:r w:rsidR="00D454C2" w:rsidRPr="00D454C2">
        <w:rPr>
          <w:vertAlign w:val="superscript"/>
        </w:rPr>
        <w:t>th</w:t>
      </w:r>
      <w:r w:rsidR="00D454C2">
        <w:t xml:space="preserve"> RO modulus of the UL subband less the RO bandwidth</w:t>
      </w:r>
      <w:r w:rsidR="0074159D">
        <w:t xml:space="preserve"> such that all ROs are always comprised within the UL subband</w:t>
      </w:r>
      <w:r w:rsidR="00FB5242">
        <w:t>.</w:t>
      </w:r>
      <w:bookmarkEnd w:id="5"/>
      <w:bookmarkEnd w:id="6"/>
    </w:p>
    <w:p w14:paraId="6C4994CD" w14:textId="32292CB8" w:rsidR="003F686D" w:rsidRDefault="00D42EE9" w:rsidP="003F686D">
      <w:pPr>
        <w:pStyle w:val="Heading3"/>
      </w:pPr>
      <w:r>
        <w:t>A</w:t>
      </w:r>
      <w:r w:rsidR="003F686D">
        <w:t>dditional RACH configuration</w:t>
      </w:r>
    </w:p>
    <w:p w14:paraId="4174EED5" w14:textId="046EAEDF" w:rsidR="007979A4" w:rsidRPr="007979A4" w:rsidRDefault="007979A4" w:rsidP="007979A4">
      <w:r>
        <w:t xml:space="preserve">RAN1 agreed on the following in RAN1 #116-bis </w:t>
      </w:r>
      <w:r>
        <w:fldChar w:fldCharType="begin"/>
      </w:r>
      <w:r>
        <w:instrText xml:space="preserve"> REF _Ref166054602 \r \h </w:instrText>
      </w:r>
      <w:r>
        <w:fldChar w:fldCharType="separate"/>
      </w:r>
      <w:r w:rsidR="00560801">
        <w:t>[2]</w:t>
      </w:r>
      <w:r>
        <w:fldChar w:fldCharType="end"/>
      </w:r>
      <w:r>
        <w:t>:</w:t>
      </w:r>
    </w:p>
    <w:tbl>
      <w:tblPr>
        <w:tblStyle w:val="TableGrid"/>
        <w:tblW w:w="0" w:type="auto"/>
        <w:tblLook w:val="04A0" w:firstRow="1" w:lastRow="0" w:firstColumn="1" w:lastColumn="0" w:noHBand="0" w:noVBand="1"/>
      </w:tblPr>
      <w:tblGrid>
        <w:gridCol w:w="9629"/>
      </w:tblGrid>
      <w:tr w:rsidR="002A04F3" w14:paraId="353E2263" w14:textId="77777777" w:rsidTr="002A04F3">
        <w:tc>
          <w:tcPr>
            <w:tcW w:w="9855" w:type="dxa"/>
          </w:tcPr>
          <w:p w14:paraId="348FB8F5" w14:textId="77777777" w:rsidR="002A04F3" w:rsidRPr="002A04F3" w:rsidRDefault="002A04F3" w:rsidP="002A04F3">
            <w:pPr>
              <w:spacing w:before="240"/>
              <w:rPr>
                <w:b/>
                <w:bCs/>
                <w:iCs/>
                <w:sz w:val="20"/>
                <w:szCs w:val="20"/>
                <w:highlight w:val="green"/>
              </w:rPr>
            </w:pPr>
            <w:r w:rsidRPr="002A04F3">
              <w:rPr>
                <w:b/>
                <w:bCs/>
                <w:iCs/>
                <w:sz w:val="20"/>
                <w:szCs w:val="20"/>
                <w:highlight w:val="green"/>
              </w:rPr>
              <w:lastRenderedPageBreak/>
              <w:t>Agreement</w:t>
            </w:r>
          </w:p>
          <w:p w14:paraId="08B76B05" w14:textId="77777777" w:rsidR="002A04F3" w:rsidRPr="002A04F3" w:rsidRDefault="002A04F3" w:rsidP="002A04F3">
            <w:pPr>
              <w:rPr>
                <w:sz w:val="20"/>
                <w:szCs w:val="20"/>
              </w:rPr>
            </w:pPr>
            <w:proofErr w:type="spellStart"/>
            <w:r w:rsidRPr="002A04F3">
              <w:rPr>
                <w:sz w:val="20"/>
                <w:szCs w:val="20"/>
              </w:rPr>
              <w:t>For</w:t>
            </w:r>
            <w:proofErr w:type="spellEnd"/>
            <w:r w:rsidRPr="002A04F3">
              <w:rPr>
                <w:sz w:val="20"/>
                <w:szCs w:val="20"/>
              </w:rPr>
              <w:t xml:space="preserve"> RACH </w:t>
            </w:r>
            <w:proofErr w:type="spellStart"/>
            <w:r w:rsidRPr="002A04F3">
              <w:rPr>
                <w:sz w:val="20"/>
                <w:szCs w:val="20"/>
              </w:rPr>
              <w:t>configuration</w:t>
            </w:r>
            <w:proofErr w:type="spellEnd"/>
            <w:r w:rsidRPr="002A04F3">
              <w:rPr>
                <w:sz w:val="20"/>
                <w:szCs w:val="20"/>
              </w:rPr>
              <w:t xml:space="preserve"> Option 2 (i.e., Use </w:t>
            </w:r>
            <w:proofErr w:type="spellStart"/>
            <w:r w:rsidRPr="002A04F3">
              <w:rPr>
                <w:sz w:val="20"/>
                <w:szCs w:val="20"/>
              </w:rPr>
              <w:t>two</w:t>
            </w:r>
            <w:proofErr w:type="spellEnd"/>
            <w:r w:rsidRPr="002A04F3">
              <w:rPr>
                <w:sz w:val="20"/>
                <w:szCs w:val="20"/>
              </w:rPr>
              <w:t xml:space="preserve"> separate RACH </w:t>
            </w:r>
            <w:proofErr w:type="spellStart"/>
            <w:r w:rsidRPr="002A04F3">
              <w:rPr>
                <w:sz w:val="20"/>
                <w:szCs w:val="20"/>
              </w:rPr>
              <w:t>configurations</w:t>
            </w:r>
            <w:proofErr w:type="spellEnd"/>
            <w:r w:rsidRPr="002A04F3">
              <w:rPr>
                <w:sz w:val="20"/>
                <w:szCs w:val="20"/>
              </w:rPr>
              <w:t xml:space="preserve">, </w:t>
            </w:r>
            <w:proofErr w:type="spellStart"/>
            <w:r w:rsidRPr="002A04F3">
              <w:rPr>
                <w:sz w:val="20"/>
                <w:szCs w:val="20"/>
              </w:rPr>
              <w:t>including</w:t>
            </w:r>
            <w:proofErr w:type="spellEnd"/>
            <w:r w:rsidRPr="002A04F3">
              <w:rPr>
                <w:sz w:val="20"/>
                <w:szCs w:val="20"/>
              </w:rPr>
              <w:t xml:space="preserve"> </w:t>
            </w:r>
            <w:proofErr w:type="spellStart"/>
            <w:r w:rsidRPr="002A04F3">
              <w:rPr>
                <w:sz w:val="20"/>
                <w:szCs w:val="20"/>
              </w:rPr>
              <w:t>one</w:t>
            </w:r>
            <w:proofErr w:type="spellEnd"/>
            <w:r w:rsidRPr="002A04F3">
              <w:rPr>
                <w:sz w:val="20"/>
                <w:szCs w:val="20"/>
              </w:rPr>
              <w:t xml:space="preserve"> </w:t>
            </w:r>
            <w:proofErr w:type="spellStart"/>
            <w:r w:rsidRPr="002A04F3">
              <w:rPr>
                <w:sz w:val="20"/>
                <w:szCs w:val="20"/>
              </w:rPr>
              <w:t>legacy</w:t>
            </w:r>
            <w:proofErr w:type="spellEnd"/>
            <w:r w:rsidRPr="002A04F3">
              <w:rPr>
                <w:sz w:val="20"/>
                <w:szCs w:val="20"/>
              </w:rPr>
              <w:t xml:space="preserve"> RACH </w:t>
            </w:r>
            <w:proofErr w:type="spellStart"/>
            <w:r w:rsidRPr="002A04F3">
              <w:rPr>
                <w:sz w:val="20"/>
                <w:szCs w:val="20"/>
              </w:rPr>
              <w:t>configuration</w:t>
            </w:r>
            <w:proofErr w:type="spellEnd"/>
            <w:r w:rsidRPr="002A04F3">
              <w:rPr>
                <w:sz w:val="20"/>
                <w:szCs w:val="20"/>
              </w:rPr>
              <w:t xml:space="preserve"> and </w:t>
            </w:r>
            <w:proofErr w:type="spellStart"/>
            <w:r w:rsidRPr="002A04F3">
              <w:rPr>
                <w:sz w:val="20"/>
                <w:szCs w:val="20"/>
              </w:rPr>
              <w:t>one</w:t>
            </w:r>
            <w:proofErr w:type="spellEnd"/>
            <w:r w:rsidRPr="002A04F3">
              <w:rPr>
                <w:sz w:val="20"/>
                <w:szCs w:val="20"/>
              </w:rPr>
              <w:t xml:space="preserve"> additional RACH </w:t>
            </w:r>
            <w:proofErr w:type="spellStart"/>
            <w:r w:rsidRPr="002A04F3">
              <w:rPr>
                <w:sz w:val="20"/>
                <w:szCs w:val="20"/>
              </w:rPr>
              <w:t>configuration</w:t>
            </w:r>
            <w:proofErr w:type="spellEnd"/>
            <w:r w:rsidRPr="002A04F3">
              <w:rPr>
                <w:sz w:val="20"/>
                <w:szCs w:val="20"/>
              </w:rPr>
              <w:t xml:space="preserve">) </w:t>
            </w:r>
            <w:proofErr w:type="spellStart"/>
            <w:r w:rsidRPr="002A04F3">
              <w:rPr>
                <w:sz w:val="20"/>
                <w:szCs w:val="20"/>
              </w:rPr>
              <w:t>to</w:t>
            </w:r>
            <w:proofErr w:type="spellEnd"/>
            <w:r w:rsidRPr="002A04F3">
              <w:rPr>
                <w:sz w:val="20"/>
                <w:szCs w:val="20"/>
              </w:rPr>
              <w:t xml:space="preserve"> support </w:t>
            </w:r>
            <w:proofErr w:type="spellStart"/>
            <w:r w:rsidRPr="002A04F3">
              <w:rPr>
                <w:sz w:val="20"/>
                <w:szCs w:val="20"/>
              </w:rPr>
              <w:t>random</w:t>
            </w:r>
            <w:proofErr w:type="spellEnd"/>
            <w:r w:rsidRPr="002A04F3">
              <w:rPr>
                <w:sz w:val="20"/>
                <w:szCs w:val="20"/>
              </w:rPr>
              <w:t xml:space="preserve"> </w:t>
            </w:r>
            <w:proofErr w:type="spellStart"/>
            <w:r w:rsidRPr="002A04F3">
              <w:rPr>
                <w:sz w:val="20"/>
                <w:szCs w:val="20"/>
              </w:rPr>
              <w:t>access</w:t>
            </w:r>
            <w:proofErr w:type="spellEnd"/>
            <w:r w:rsidRPr="002A04F3">
              <w:rPr>
                <w:sz w:val="20"/>
                <w:szCs w:val="20"/>
              </w:rPr>
              <w:t xml:space="preserve"> </w:t>
            </w:r>
            <w:proofErr w:type="spellStart"/>
            <w:r w:rsidRPr="002A04F3">
              <w:rPr>
                <w:sz w:val="20"/>
                <w:szCs w:val="20"/>
              </w:rPr>
              <w:t>operation</w:t>
            </w:r>
            <w:proofErr w:type="spellEnd"/>
            <w:r w:rsidRPr="002A04F3">
              <w:rPr>
                <w:sz w:val="20"/>
                <w:szCs w:val="20"/>
              </w:rPr>
              <w:t xml:space="preserve"> </w:t>
            </w:r>
            <w:proofErr w:type="spellStart"/>
            <w:r w:rsidRPr="002A04F3">
              <w:rPr>
                <w:sz w:val="20"/>
                <w:szCs w:val="20"/>
              </w:rPr>
              <w:t>for</w:t>
            </w:r>
            <w:proofErr w:type="spellEnd"/>
            <w:r w:rsidRPr="002A04F3">
              <w:rPr>
                <w:sz w:val="20"/>
                <w:szCs w:val="20"/>
              </w:rPr>
              <w:t xml:space="preserve"> SBFD-aware UEs in RRC CONNECTED </w:t>
            </w:r>
            <w:proofErr w:type="spellStart"/>
            <w:r w:rsidRPr="002A04F3">
              <w:rPr>
                <w:sz w:val="20"/>
                <w:szCs w:val="20"/>
              </w:rPr>
              <w:t>state</w:t>
            </w:r>
            <w:proofErr w:type="spellEnd"/>
            <w:r w:rsidRPr="002A04F3">
              <w:rPr>
                <w:sz w:val="20"/>
                <w:szCs w:val="20"/>
              </w:rPr>
              <w:t>, down-</w:t>
            </w:r>
            <w:proofErr w:type="spellStart"/>
            <w:r w:rsidRPr="002A04F3">
              <w:rPr>
                <w:sz w:val="20"/>
                <w:szCs w:val="20"/>
              </w:rPr>
              <w:t>select</w:t>
            </w:r>
            <w:proofErr w:type="spellEnd"/>
            <w:r w:rsidRPr="002A04F3">
              <w:rPr>
                <w:sz w:val="20"/>
                <w:szCs w:val="20"/>
              </w:rPr>
              <w:t xml:space="preserve"> (in RAN1#117) </w:t>
            </w:r>
            <w:proofErr w:type="spellStart"/>
            <w:r w:rsidRPr="002A04F3">
              <w:rPr>
                <w:sz w:val="20"/>
                <w:szCs w:val="20"/>
              </w:rPr>
              <w:t>from</w:t>
            </w:r>
            <w:proofErr w:type="spellEnd"/>
            <w:r w:rsidRPr="002A04F3">
              <w:rPr>
                <w:sz w:val="20"/>
                <w:szCs w:val="20"/>
              </w:rPr>
              <w:t xml:space="preserve"> </w:t>
            </w:r>
            <w:proofErr w:type="spellStart"/>
            <w:r w:rsidRPr="002A04F3">
              <w:rPr>
                <w:sz w:val="20"/>
                <w:szCs w:val="20"/>
              </w:rPr>
              <w:t>the</w:t>
            </w:r>
            <w:proofErr w:type="spellEnd"/>
            <w:r w:rsidRPr="002A04F3">
              <w:rPr>
                <w:sz w:val="20"/>
                <w:szCs w:val="20"/>
              </w:rPr>
              <w:t xml:space="preserve"> </w:t>
            </w:r>
            <w:proofErr w:type="spellStart"/>
            <w:r w:rsidRPr="002A04F3">
              <w:rPr>
                <w:sz w:val="20"/>
                <w:szCs w:val="20"/>
              </w:rPr>
              <w:t>following</w:t>
            </w:r>
            <w:proofErr w:type="spellEnd"/>
            <w:r w:rsidRPr="002A04F3">
              <w:rPr>
                <w:sz w:val="20"/>
                <w:szCs w:val="20"/>
              </w:rPr>
              <w:t xml:space="preserve"> alternatives:</w:t>
            </w:r>
          </w:p>
          <w:p w14:paraId="7F915463" w14:textId="77777777" w:rsidR="002A04F3" w:rsidRPr="002A04F3" w:rsidRDefault="002A04F3" w:rsidP="002A04F3">
            <w:pPr>
              <w:pStyle w:val="ListParagraph"/>
              <w:numPr>
                <w:ilvl w:val="0"/>
                <w:numId w:val="28"/>
              </w:numPr>
              <w:spacing w:line="240" w:lineRule="auto"/>
              <w:jc w:val="left"/>
              <w:rPr>
                <w:sz w:val="20"/>
                <w:szCs w:val="20"/>
              </w:rPr>
            </w:pPr>
            <w:r w:rsidRPr="002A04F3">
              <w:rPr>
                <w:sz w:val="20"/>
                <w:szCs w:val="20"/>
              </w:rPr>
              <w:t xml:space="preserve">Alt 2-3: </w:t>
            </w:r>
          </w:p>
          <w:p w14:paraId="055F554D" w14:textId="77777777" w:rsidR="002A04F3" w:rsidRPr="002A04F3" w:rsidRDefault="002A04F3" w:rsidP="002A04F3">
            <w:pPr>
              <w:pStyle w:val="ListParagraph"/>
              <w:numPr>
                <w:ilvl w:val="1"/>
                <w:numId w:val="28"/>
              </w:numPr>
              <w:spacing w:line="240" w:lineRule="auto"/>
              <w:jc w:val="left"/>
              <w:rPr>
                <w:sz w:val="20"/>
                <w:szCs w:val="20"/>
                <w:lang w:val="en-US"/>
              </w:rPr>
            </w:pPr>
            <w:r w:rsidRPr="002A04F3">
              <w:rPr>
                <w:sz w:val="20"/>
                <w:szCs w:val="20"/>
                <w:lang w:val="en-US"/>
              </w:rPr>
              <w:t>The additional-ROs in non-SBFD symbols configured by additional RACH configuration are invalid for SBFD-aware UEs.</w:t>
            </w:r>
          </w:p>
          <w:p w14:paraId="35581DDA" w14:textId="77777777" w:rsidR="002A04F3" w:rsidRPr="002A04F3" w:rsidRDefault="002A04F3" w:rsidP="002A04F3">
            <w:pPr>
              <w:pStyle w:val="ListParagraph"/>
              <w:numPr>
                <w:ilvl w:val="1"/>
                <w:numId w:val="28"/>
              </w:numPr>
              <w:spacing w:line="240" w:lineRule="auto"/>
              <w:jc w:val="left"/>
              <w:rPr>
                <w:sz w:val="20"/>
                <w:szCs w:val="20"/>
                <w:lang w:val="en-US"/>
              </w:rPr>
            </w:pPr>
            <w:r w:rsidRPr="002A04F3">
              <w:rPr>
                <w:sz w:val="20"/>
                <w:szCs w:val="20"/>
                <w:lang w:val="en-US"/>
              </w:rPr>
              <w:t xml:space="preserve">FFS: The case where the additional-ROs partially overlap with non-SBFD symbols </w:t>
            </w:r>
          </w:p>
          <w:p w14:paraId="107DF47D" w14:textId="77777777" w:rsidR="002A04F3" w:rsidRPr="002A04F3" w:rsidRDefault="002A04F3" w:rsidP="002A04F3">
            <w:pPr>
              <w:pStyle w:val="ListParagraph"/>
              <w:numPr>
                <w:ilvl w:val="0"/>
                <w:numId w:val="28"/>
              </w:numPr>
              <w:spacing w:line="240" w:lineRule="auto"/>
              <w:jc w:val="left"/>
              <w:rPr>
                <w:sz w:val="20"/>
                <w:szCs w:val="20"/>
              </w:rPr>
            </w:pPr>
            <w:r w:rsidRPr="002A04F3">
              <w:rPr>
                <w:sz w:val="20"/>
                <w:szCs w:val="20"/>
              </w:rPr>
              <w:t xml:space="preserve">Alt 2-4: </w:t>
            </w:r>
          </w:p>
          <w:p w14:paraId="4B190D0B" w14:textId="77777777" w:rsidR="002A04F3" w:rsidRPr="002A04F3" w:rsidRDefault="002A04F3" w:rsidP="002A04F3">
            <w:pPr>
              <w:pStyle w:val="ListParagraph"/>
              <w:numPr>
                <w:ilvl w:val="1"/>
                <w:numId w:val="28"/>
              </w:numPr>
              <w:spacing w:line="240" w:lineRule="auto"/>
              <w:jc w:val="left"/>
              <w:rPr>
                <w:sz w:val="20"/>
                <w:szCs w:val="20"/>
                <w:lang w:val="en-US"/>
              </w:rPr>
            </w:pPr>
            <w:r w:rsidRPr="002A04F3">
              <w:rPr>
                <w:sz w:val="20"/>
                <w:szCs w:val="20"/>
                <w:lang w:val="en-US"/>
              </w:rPr>
              <w:t>The additional-ROs in non-SBFD symbols configured by additional RACH configuration can be valid for SBFD-aware UEs.</w:t>
            </w:r>
          </w:p>
          <w:p w14:paraId="5C8F6825" w14:textId="79C410F1" w:rsidR="002A04F3" w:rsidRPr="002A04F3" w:rsidRDefault="002A04F3" w:rsidP="002A04F3">
            <w:pPr>
              <w:pStyle w:val="ListParagraph"/>
              <w:spacing w:after="240"/>
              <w:ind w:left="0"/>
              <w:rPr>
                <w:sz w:val="20"/>
                <w:szCs w:val="20"/>
                <w:lang w:val="en-US"/>
              </w:rPr>
            </w:pPr>
            <w:r w:rsidRPr="002A04F3">
              <w:rPr>
                <w:sz w:val="20"/>
                <w:szCs w:val="20"/>
                <w:lang w:val="en-US"/>
              </w:rPr>
              <w:t>For the legacy-ROs configured by legacy RACH configuration, the legacy RO validation rules and the legacy SSB-RO mapping rules are followed for SBFD aware UEs.</w:t>
            </w:r>
          </w:p>
          <w:p w14:paraId="3200C943" w14:textId="77777777" w:rsidR="002A04F3" w:rsidRPr="002A04F3" w:rsidRDefault="002A04F3" w:rsidP="002A04F3">
            <w:pPr>
              <w:rPr>
                <w:b/>
                <w:bCs/>
                <w:iCs/>
                <w:sz w:val="20"/>
                <w:szCs w:val="18"/>
                <w:highlight w:val="green"/>
              </w:rPr>
            </w:pPr>
            <w:r w:rsidRPr="002A04F3">
              <w:rPr>
                <w:b/>
                <w:bCs/>
                <w:iCs/>
                <w:sz w:val="20"/>
                <w:szCs w:val="18"/>
                <w:highlight w:val="green"/>
              </w:rPr>
              <w:t>Agreement</w:t>
            </w:r>
          </w:p>
          <w:p w14:paraId="6335E43B" w14:textId="77777777" w:rsidR="002A04F3" w:rsidRPr="002A04F3" w:rsidRDefault="002A04F3" w:rsidP="002A04F3">
            <w:pPr>
              <w:rPr>
                <w:sz w:val="20"/>
                <w:szCs w:val="18"/>
              </w:rPr>
            </w:pPr>
            <w:proofErr w:type="spellStart"/>
            <w:r w:rsidRPr="002A04F3">
              <w:rPr>
                <w:sz w:val="20"/>
                <w:szCs w:val="18"/>
              </w:rPr>
              <w:t>For</w:t>
            </w:r>
            <w:proofErr w:type="spellEnd"/>
            <w:r w:rsidRPr="002A04F3">
              <w:rPr>
                <w:sz w:val="20"/>
                <w:szCs w:val="18"/>
              </w:rPr>
              <w:t xml:space="preserve"> RACH </w:t>
            </w:r>
            <w:proofErr w:type="spellStart"/>
            <w:r w:rsidRPr="002A04F3">
              <w:rPr>
                <w:sz w:val="20"/>
                <w:szCs w:val="18"/>
              </w:rPr>
              <w:t>configuration</w:t>
            </w:r>
            <w:proofErr w:type="spellEnd"/>
            <w:r w:rsidRPr="002A04F3">
              <w:rPr>
                <w:sz w:val="20"/>
                <w:szCs w:val="18"/>
              </w:rPr>
              <w:t xml:space="preserve"> Option 2 (i.e., Use </w:t>
            </w:r>
            <w:proofErr w:type="spellStart"/>
            <w:r w:rsidRPr="002A04F3">
              <w:rPr>
                <w:sz w:val="20"/>
                <w:szCs w:val="18"/>
              </w:rPr>
              <w:t>two</w:t>
            </w:r>
            <w:proofErr w:type="spellEnd"/>
            <w:r w:rsidRPr="002A04F3">
              <w:rPr>
                <w:sz w:val="20"/>
                <w:szCs w:val="18"/>
              </w:rPr>
              <w:t xml:space="preserve"> separate RACH </w:t>
            </w:r>
            <w:proofErr w:type="spellStart"/>
            <w:r w:rsidRPr="002A04F3">
              <w:rPr>
                <w:sz w:val="20"/>
                <w:szCs w:val="18"/>
              </w:rPr>
              <w:t>configurations</w:t>
            </w:r>
            <w:proofErr w:type="spellEnd"/>
            <w:r w:rsidRPr="002A04F3">
              <w:rPr>
                <w:sz w:val="20"/>
                <w:szCs w:val="18"/>
              </w:rPr>
              <w:t xml:space="preserve">, </w:t>
            </w:r>
            <w:proofErr w:type="spellStart"/>
            <w:r w:rsidRPr="002A04F3">
              <w:rPr>
                <w:sz w:val="20"/>
                <w:szCs w:val="18"/>
              </w:rPr>
              <w:t>including</w:t>
            </w:r>
            <w:proofErr w:type="spellEnd"/>
            <w:r w:rsidRPr="002A04F3">
              <w:rPr>
                <w:sz w:val="20"/>
                <w:szCs w:val="18"/>
              </w:rPr>
              <w:t xml:space="preserve"> </w:t>
            </w:r>
            <w:proofErr w:type="spellStart"/>
            <w:r w:rsidRPr="002A04F3">
              <w:rPr>
                <w:sz w:val="20"/>
                <w:szCs w:val="18"/>
              </w:rPr>
              <w:t>one</w:t>
            </w:r>
            <w:proofErr w:type="spellEnd"/>
            <w:r w:rsidRPr="002A04F3">
              <w:rPr>
                <w:sz w:val="20"/>
                <w:szCs w:val="18"/>
              </w:rPr>
              <w:t xml:space="preserve"> </w:t>
            </w:r>
            <w:proofErr w:type="spellStart"/>
            <w:r w:rsidRPr="002A04F3">
              <w:rPr>
                <w:sz w:val="20"/>
                <w:szCs w:val="18"/>
              </w:rPr>
              <w:t>legacy</w:t>
            </w:r>
            <w:proofErr w:type="spellEnd"/>
            <w:r w:rsidRPr="002A04F3">
              <w:rPr>
                <w:sz w:val="20"/>
                <w:szCs w:val="18"/>
              </w:rPr>
              <w:t xml:space="preserve"> RACH </w:t>
            </w:r>
            <w:proofErr w:type="spellStart"/>
            <w:r w:rsidRPr="002A04F3">
              <w:rPr>
                <w:sz w:val="20"/>
                <w:szCs w:val="18"/>
              </w:rPr>
              <w:t>configuration</w:t>
            </w:r>
            <w:proofErr w:type="spellEnd"/>
            <w:r w:rsidRPr="002A04F3">
              <w:rPr>
                <w:sz w:val="20"/>
                <w:szCs w:val="18"/>
              </w:rPr>
              <w:t xml:space="preserve"> and </w:t>
            </w:r>
            <w:proofErr w:type="spellStart"/>
            <w:r w:rsidRPr="002A04F3">
              <w:rPr>
                <w:sz w:val="20"/>
                <w:szCs w:val="18"/>
              </w:rPr>
              <w:t>one</w:t>
            </w:r>
            <w:proofErr w:type="spellEnd"/>
            <w:r w:rsidRPr="002A04F3">
              <w:rPr>
                <w:sz w:val="20"/>
                <w:szCs w:val="18"/>
              </w:rPr>
              <w:t xml:space="preserve"> additional RACH </w:t>
            </w:r>
            <w:proofErr w:type="spellStart"/>
            <w:r w:rsidRPr="002A04F3">
              <w:rPr>
                <w:sz w:val="20"/>
                <w:szCs w:val="18"/>
              </w:rPr>
              <w:t>configuration</w:t>
            </w:r>
            <w:proofErr w:type="spellEnd"/>
            <w:r w:rsidRPr="002A04F3">
              <w:rPr>
                <w:sz w:val="20"/>
                <w:szCs w:val="18"/>
              </w:rPr>
              <w:t xml:space="preserve">) </w:t>
            </w:r>
            <w:proofErr w:type="spellStart"/>
            <w:r w:rsidRPr="002A04F3">
              <w:rPr>
                <w:sz w:val="20"/>
                <w:szCs w:val="18"/>
              </w:rPr>
              <w:t>to</w:t>
            </w:r>
            <w:proofErr w:type="spellEnd"/>
            <w:r w:rsidRPr="002A04F3">
              <w:rPr>
                <w:sz w:val="20"/>
                <w:szCs w:val="18"/>
              </w:rPr>
              <w:t xml:space="preserve"> support </w:t>
            </w:r>
            <w:proofErr w:type="spellStart"/>
            <w:r w:rsidRPr="002A04F3">
              <w:rPr>
                <w:sz w:val="20"/>
                <w:szCs w:val="18"/>
              </w:rPr>
              <w:t>random</w:t>
            </w:r>
            <w:proofErr w:type="spellEnd"/>
            <w:r w:rsidRPr="002A04F3">
              <w:rPr>
                <w:sz w:val="20"/>
                <w:szCs w:val="18"/>
              </w:rPr>
              <w:t xml:space="preserve"> </w:t>
            </w:r>
            <w:proofErr w:type="spellStart"/>
            <w:r w:rsidRPr="002A04F3">
              <w:rPr>
                <w:sz w:val="20"/>
                <w:szCs w:val="18"/>
              </w:rPr>
              <w:t>access</w:t>
            </w:r>
            <w:proofErr w:type="spellEnd"/>
            <w:r w:rsidRPr="002A04F3">
              <w:rPr>
                <w:sz w:val="20"/>
                <w:szCs w:val="18"/>
              </w:rPr>
              <w:t xml:space="preserve"> </w:t>
            </w:r>
            <w:proofErr w:type="spellStart"/>
            <w:r w:rsidRPr="002A04F3">
              <w:rPr>
                <w:sz w:val="20"/>
                <w:szCs w:val="18"/>
              </w:rPr>
              <w:t>operation</w:t>
            </w:r>
            <w:proofErr w:type="spellEnd"/>
            <w:r w:rsidRPr="002A04F3">
              <w:rPr>
                <w:sz w:val="20"/>
                <w:szCs w:val="18"/>
              </w:rPr>
              <w:t xml:space="preserve"> </w:t>
            </w:r>
            <w:proofErr w:type="spellStart"/>
            <w:r w:rsidRPr="002A04F3">
              <w:rPr>
                <w:sz w:val="20"/>
                <w:szCs w:val="18"/>
              </w:rPr>
              <w:t>for</w:t>
            </w:r>
            <w:proofErr w:type="spellEnd"/>
            <w:r w:rsidRPr="002A04F3">
              <w:rPr>
                <w:sz w:val="20"/>
                <w:szCs w:val="18"/>
              </w:rPr>
              <w:t xml:space="preserve"> SBFD-aware UEs in RRC CONNECTED </w:t>
            </w:r>
            <w:proofErr w:type="spellStart"/>
            <w:r w:rsidRPr="002A04F3">
              <w:rPr>
                <w:sz w:val="20"/>
                <w:szCs w:val="18"/>
              </w:rPr>
              <w:t>state</w:t>
            </w:r>
            <w:proofErr w:type="spellEnd"/>
            <w:r w:rsidRPr="002A04F3">
              <w:rPr>
                <w:sz w:val="20"/>
                <w:szCs w:val="18"/>
              </w:rPr>
              <w:t xml:space="preserve">, and </w:t>
            </w:r>
            <w:proofErr w:type="spellStart"/>
            <w:r w:rsidRPr="002A04F3">
              <w:rPr>
                <w:sz w:val="20"/>
                <w:szCs w:val="18"/>
              </w:rPr>
              <w:t>for</w:t>
            </w:r>
            <w:proofErr w:type="spellEnd"/>
            <w:r w:rsidRPr="002A04F3">
              <w:rPr>
                <w:sz w:val="20"/>
                <w:szCs w:val="18"/>
              </w:rPr>
              <w:t xml:space="preserve"> </w:t>
            </w:r>
            <w:proofErr w:type="spellStart"/>
            <w:r w:rsidRPr="002A04F3">
              <w:rPr>
                <w:sz w:val="20"/>
                <w:szCs w:val="18"/>
              </w:rPr>
              <w:t>interpretation</w:t>
            </w:r>
            <w:proofErr w:type="spellEnd"/>
            <w:r w:rsidRPr="002A04F3">
              <w:rPr>
                <w:sz w:val="20"/>
                <w:szCs w:val="18"/>
              </w:rPr>
              <w:t xml:space="preserve"> </w:t>
            </w:r>
            <w:proofErr w:type="spellStart"/>
            <w:r w:rsidRPr="002A04F3">
              <w:rPr>
                <w:sz w:val="20"/>
                <w:szCs w:val="18"/>
              </w:rPr>
              <w:t>of</w:t>
            </w:r>
            <w:proofErr w:type="spellEnd"/>
            <w:r w:rsidRPr="002A04F3">
              <w:rPr>
                <w:sz w:val="20"/>
                <w:szCs w:val="18"/>
              </w:rPr>
              <w:t xml:space="preserve"> </w:t>
            </w:r>
            <w:proofErr w:type="spellStart"/>
            <w:r w:rsidRPr="002A04F3">
              <w:rPr>
                <w:sz w:val="20"/>
                <w:szCs w:val="18"/>
              </w:rPr>
              <w:t>the</w:t>
            </w:r>
            <w:proofErr w:type="spellEnd"/>
            <w:r w:rsidRPr="002A04F3">
              <w:rPr>
                <w:sz w:val="20"/>
                <w:szCs w:val="18"/>
              </w:rPr>
              <w:t xml:space="preserve"> </w:t>
            </w:r>
            <w:proofErr w:type="spellStart"/>
            <w:r w:rsidRPr="002A04F3">
              <w:rPr>
                <w:sz w:val="20"/>
                <w:szCs w:val="18"/>
              </w:rPr>
              <w:t>parameter</w:t>
            </w:r>
            <w:proofErr w:type="spellEnd"/>
            <w:r w:rsidRPr="002A04F3">
              <w:rPr>
                <w:sz w:val="20"/>
                <w:szCs w:val="18"/>
              </w:rPr>
              <w:t xml:space="preserve"> </w:t>
            </w:r>
            <w:proofErr w:type="spellStart"/>
            <w:r w:rsidRPr="002A04F3">
              <w:rPr>
                <w:i/>
                <w:iCs/>
                <w:sz w:val="20"/>
                <w:szCs w:val="18"/>
              </w:rPr>
              <w:t>prach-ConfigurationIndex</w:t>
            </w:r>
            <w:proofErr w:type="spellEnd"/>
            <w:r w:rsidRPr="002A04F3">
              <w:rPr>
                <w:sz w:val="20"/>
                <w:szCs w:val="18"/>
              </w:rPr>
              <w:t xml:space="preserve"> </w:t>
            </w:r>
            <w:proofErr w:type="spellStart"/>
            <w:r w:rsidRPr="002A04F3">
              <w:rPr>
                <w:sz w:val="20"/>
                <w:szCs w:val="18"/>
              </w:rPr>
              <w:t>provided</w:t>
            </w:r>
            <w:proofErr w:type="spellEnd"/>
            <w:r w:rsidRPr="002A04F3">
              <w:rPr>
                <w:sz w:val="20"/>
                <w:szCs w:val="18"/>
              </w:rPr>
              <w:t xml:space="preserve"> </w:t>
            </w:r>
            <w:proofErr w:type="spellStart"/>
            <w:r w:rsidRPr="002A04F3">
              <w:rPr>
                <w:sz w:val="20"/>
                <w:szCs w:val="18"/>
              </w:rPr>
              <w:t>by</w:t>
            </w:r>
            <w:proofErr w:type="spellEnd"/>
            <w:r w:rsidRPr="002A04F3">
              <w:rPr>
                <w:sz w:val="20"/>
                <w:szCs w:val="18"/>
              </w:rPr>
              <w:t xml:space="preserve"> </w:t>
            </w:r>
            <w:proofErr w:type="spellStart"/>
            <w:r w:rsidRPr="002A04F3">
              <w:rPr>
                <w:sz w:val="20"/>
                <w:szCs w:val="18"/>
              </w:rPr>
              <w:t>the</w:t>
            </w:r>
            <w:proofErr w:type="spellEnd"/>
            <w:r w:rsidRPr="002A04F3">
              <w:rPr>
                <w:sz w:val="20"/>
                <w:szCs w:val="18"/>
              </w:rPr>
              <w:t xml:space="preserve"> additional RACH </w:t>
            </w:r>
            <w:proofErr w:type="spellStart"/>
            <w:r w:rsidRPr="002A04F3">
              <w:rPr>
                <w:sz w:val="20"/>
                <w:szCs w:val="18"/>
              </w:rPr>
              <w:t>configuration</w:t>
            </w:r>
            <w:proofErr w:type="spellEnd"/>
            <w:r w:rsidRPr="002A04F3">
              <w:rPr>
                <w:sz w:val="20"/>
                <w:szCs w:val="18"/>
              </w:rPr>
              <w:t>,</w:t>
            </w:r>
          </w:p>
          <w:p w14:paraId="2581A3EC" w14:textId="77777777" w:rsidR="002A04F3" w:rsidRPr="002A04F3" w:rsidRDefault="002A04F3" w:rsidP="002A04F3">
            <w:pPr>
              <w:pStyle w:val="ListParagraph"/>
              <w:numPr>
                <w:ilvl w:val="0"/>
                <w:numId w:val="28"/>
              </w:numPr>
              <w:spacing w:line="240" w:lineRule="auto"/>
              <w:jc w:val="left"/>
              <w:rPr>
                <w:sz w:val="20"/>
                <w:szCs w:val="18"/>
                <w:lang w:val="en-US"/>
              </w:rPr>
            </w:pPr>
            <w:r w:rsidRPr="002A04F3">
              <w:rPr>
                <w:sz w:val="20"/>
                <w:szCs w:val="18"/>
                <w:lang w:val="en-US"/>
              </w:rPr>
              <w:t>For FR2,</w:t>
            </w:r>
            <w:r w:rsidRPr="002A04F3">
              <w:rPr>
                <w:rFonts w:eastAsia="Malgun Gothic" w:hint="eastAsia"/>
                <w:sz w:val="20"/>
                <w:szCs w:val="18"/>
                <w:lang w:val="en-US"/>
              </w:rPr>
              <w:t xml:space="preserve"> consider</w:t>
            </w:r>
            <w:r w:rsidRPr="002A04F3">
              <w:rPr>
                <w:sz w:val="20"/>
                <w:szCs w:val="18"/>
                <w:lang w:val="en-US"/>
              </w:rPr>
              <w:t xml:space="preserve"> from the following alternatives:</w:t>
            </w:r>
          </w:p>
          <w:p w14:paraId="797A4B34" w14:textId="77777777" w:rsidR="002A04F3" w:rsidRPr="002A04F3" w:rsidRDefault="002A04F3" w:rsidP="002A04F3">
            <w:pPr>
              <w:pStyle w:val="ListParagraph"/>
              <w:numPr>
                <w:ilvl w:val="1"/>
                <w:numId w:val="28"/>
              </w:numPr>
              <w:spacing w:line="240" w:lineRule="auto"/>
              <w:jc w:val="left"/>
              <w:rPr>
                <w:sz w:val="20"/>
                <w:szCs w:val="18"/>
                <w:lang w:val="en-US"/>
              </w:rPr>
            </w:pPr>
            <w:r w:rsidRPr="002A04F3">
              <w:rPr>
                <w:sz w:val="20"/>
                <w:szCs w:val="18"/>
                <w:lang w:val="en-US"/>
              </w:rPr>
              <w:t xml:space="preserve">Alt 1: </w:t>
            </w:r>
            <w:bookmarkStart w:id="7" w:name="_Hlk164698029"/>
            <w:r w:rsidRPr="002A04F3">
              <w:rPr>
                <w:sz w:val="20"/>
                <w:szCs w:val="18"/>
                <w:lang w:val="en-US"/>
              </w:rPr>
              <w:t xml:space="preserve">use existing random access configurations table for unpaired spectrum (i.e., Table 6.3.3.2-4 </w:t>
            </w:r>
            <w:bookmarkEnd w:id="7"/>
            <w:r w:rsidRPr="002A04F3">
              <w:rPr>
                <w:sz w:val="20"/>
                <w:szCs w:val="18"/>
                <w:lang w:val="en-US"/>
              </w:rPr>
              <w:t xml:space="preserve">in TS38.211) </w:t>
            </w:r>
          </w:p>
          <w:p w14:paraId="63A40C1D" w14:textId="77777777" w:rsidR="002A04F3" w:rsidRPr="002A04F3" w:rsidRDefault="002A04F3" w:rsidP="002A04F3">
            <w:pPr>
              <w:pStyle w:val="ListParagraph"/>
              <w:numPr>
                <w:ilvl w:val="2"/>
                <w:numId w:val="28"/>
              </w:numPr>
              <w:spacing w:line="240" w:lineRule="auto"/>
              <w:jc w:val="left"/>
              <w:rPr>
                <w:sz w:val="20"/>
                <w:szCs w:val="18"/>
                <w:lang w:val="en-US"/>
              </w:rPr>
            </w:pPr>
            <w:r w:rsidRPr="002A04F3">
              <w:rPr>
                <w:sz w:val="20"/>
                <w:szCs w:val="18"/>
                <w:lang w:val="en-US"/>
              </w:rPr>
              <w:t>FFS whether to introduce new parameter(s) to determine the slot number for ROs in SBFD symbols.</w:t>
            </w:r>
          </w:p>
          <w:p w14:paraId="2771A90D" w14:textId="77777777" w:rsidR="002A04F3" w:rsidRPr="002A04F3" w:rsidRDefault="002A04F3" w:rsidP="002A04F3">
            <w:pPr>
              <w:pStyle w:val="ListParagraph"/>
              <w:numPr>
                <w:ilvl w:val="1"/>
                <w:numId w:val="28"/>
              </w:numPr>
              <w:spacing w:line="240" w:lineRule="auto"/>
              <w:jc w:val="left"/>
              <w:rPr>
                <w:sz w:val="20"/>
                <w:szCs w:val="18"/>
                <w:lang w:val="en-US"/>
              </w:rPr>
            </w:pPr>
            <w:r w:rsidRPr="002A04F3">
              <w:rPr>
                <w:sz w:val="20"/>
                <w:szCs w:val="18"/>
                <w:lang w:val="en-US"/>
              </w:rPr>
              <w:t>Alt 3: Introduce new entries on top of existing random access configurations table for unpaired spectrum (i.e., Table 6.3.3.2-4 in TS38.211)</w:t>
            </w:r>
          </w:p>
          <w:p w14:paraId="4E6F1C82" w14:textId="77777777" w:rsidR="002A04F3" w:rsidRPr="002A04F3" w:rsidRDefault="002A04F3" w:rsidP="002A04F3">
            <w:pPr>
              <w:pStyle w:val="ListParagraph"/>
              <w:numPr>
                <w:ilvl w:val="0"/>
                <w:numId w:val="28"/>
              </w:numPr>
              <w:spacing w:line="240" w:lineRule="auto"/>
              <w:jc w:val="left"/>
              <w:rPr>
                <w:sz w:val="20"/>
                <w:szCs w:val="18"/>
                <w:lang w:val="en-US"/>
              </w:rPr>
            </w:pPr>
            <w:r w:rsidRPr="002A04F3">
              <w:rPr>
                <w:sz w:val="20"/>
                <w:szCs w:val="18"/>
                <w:lang w:val="en-US"/>
              </w:rPr>
              <w:t xml:space="preserve">For FR1, </w:t>
            </w:r>
            <w:r w:rsidRPr="002A04F3">
              <w:rPr>
                <w:rFonts w:eastAsia="Malgun Gothic" w:hint="eastAsia"/>
                <w:sz w:val="20"/>
                <w:szCs w:val="18"/>
                <w:lang w:val="en-US"/>
              </w:rPr>
              <w:t>consider</w:t>
            </w:r>
            <w:r w:rsidRPr="002A04F3">
              <w:rPr>
                <w:sz w:val="20"/>
                <w:szCs w:val="18"/>
                <w:lang w:val="en-US"/>
              </w:rPr>
              <w:t xml:space="preserve"> from the following alternatives:</w:t>
            </w:r>
          </w:p>
          <w:p w14:paraId="17A57754" w14:textId="77777777" w:rsidR="002A04F3" w:rsidRPr="002A04F3" w:rsidRDefault="002A04F3" w:rsidP="002A04F3">
            <w:pPr>
              <w:pStyle w:val="ListParagraph"/>
              <w:numPr>
                <w:ilvl w:val="1"/>
                <w:numId w:val="28"/>
              </w:numPr>
              <w:spacing w:line="240" w:lineRule="auto"/>
              <w:jc w:val="left"/>
              <w:rPr>
                <w:sz w:val="20"/>
                <w:szCs w:val="18"/>
                <w:lang w:val="en-US"/>
              </w:rPr>
            </w:pPr>
            <w:r w:rsidRPr="002A04F3">
              <w:rPr>
                <w:sz w:val="20"/>
                <w:szCs w:val="18"/>
                <w:lang w:val="en-US"/>
              </w:rPr>
              <w:t xml:space="preserve">Alt 1: Use existing random access configurations table for unpaired spectrum (i.e., </w:t>
            </w:r>
            <w:bookmarkStart w:id="8" w:name="_Hlk164698068"/>
            <w:r w:rsidRPr="002A04F3">
              <w:rPr>
                <w:sz w:val="20"/>
                <w:szCs w:val="18"/>
                <w:lang w:val="en-US"/>
              </w:rPr>
              <w:t xml:space="preserve">Table 6.3.3.2-3 </w:t>
            </w:r>
            <w:bookmarkEnd w:id="8"/>
            <w:r w:rsidRPr="002A04F3">
              <w:rPr>
                <w:sz w:val="20"/>
                <w:szCs w:val="18"/>
                <w:lang w:val="en-US"/>
              </w:rPr>
              <w:t xml:space="preserve">in TS38.211) </w:t>
            </w:r>
          </w:p>
          <w:p w14:paraId="41DF8BA9" w14:textId="77777777" w:rsidR="002A04F3" w:rsidRPr="002A04F3" w:rsidRDefault="002A04F3" w:rsidP="002A04F3">
            <w:pPr>
              <w:pStyle w:val="ListParagraph"/>
              <w:numPr>
                <w:ilvl w:val="2"/>
                <w:numId w:val="28"/>
              </w:numPr>
              <w:spacing w:line="240" w:lineRule="auto"/>
              <w:jc w:val="left"/>
              <w:rPr>
                <w:sz w:val="20"/>
                <w:szCs w:val="18"/>
                <w:lang w:val="en-US"/>
              </w:rPr>
            </w:pPr>
            <w:r w:rsidRPr="002A04F3">
              <w:rPr>
                <w:sz w:val="20"/>
                <w:szCs w:val="18"/>
                <w:lang w:val="en-US"/>
              </w:rPr>
              <w:t>FFS whether to introduce new parameter(s) to determine the subframe number for ROs in SBFD symbols.</w:t>
            </w:r>
          </w:p>
          <w:p w14:paraId="37FDAA70" w14:textId="77777777" w:rsidR="002A04F3" w:rsidRPr="002A04F3" w:rsidRDefault="002A04F3" w:rsidP="002A04F3">
            <w:pPr>
              <w:pStyle w:val="ListParagraph"/>
              <w:numPr>
                <w:ilvl w:val="1"/>
                <w:numId w:val="28"/>
              </w:numPr>
              <w:spacing w:line="240" w:lineRule="auto"/>
              <w:jc w:val="left"/>
              <w:rPr>
                <w:sz w:val="20"/>
                <w:szCs w:val="18"/>
                <w:lang w:val="en-US"/>
              </w:rPr>
            </w:pPr>
            <w:r w:rsidRPr="002A04F3">
              <w:rPr>
                <w:sz w:val="20"/>
                <w:szCs w:val="18"/>
                <w:lang w:val="en-US"/>
              </w:rPr>
              <w:t>Alt 2: Use existing random access configurations table for paired spectrum/supplementary uplink (i.e., Table 6.3.3.2-2 in TS38.211)</w:t>
            </w:r>
          </w:p>
          <w:p w14:paraId="792C5823" w14:textId="322DCC9E" w:rsidR="002A04F3" w:rsidRPr="002A04F3" w:rsidRDefault="002A04F3" w:rsidP="002A04F3">
            <w:pPr>
              <w:pStyle w:val="ListParagraph"/>
              <w:numPr>
                <w:ilvl w:val="1"/>
                <w:numId w:val="28"/>
              </w:numPr>
              <w:spacing w:after="240" w:line="240" w:lineRule="auto"/>
              <w:jc w:val="left"/>
              <w:rPr>
                <w:szCs w:val="20"/>
                <w:lang w:val="en-US"/>
              </w:rPr>
            </w:pPr>
            <w:r w:rsidRPr="002A04F3">
              <w:rPr>
                <w:sz w:val="20"/>
                <w:szCs w:val="18"/>
                <w:lang w:val="en-US"/>
              </w:rPr>
              <w:t>Alt 3: Introduce new entries on top of existing random access configurations table for unpaired spectrum (i.e., Table 6.3.3.2-3 in TS38.211)</w:t>
            </w:r>
          </w:p>
        </w:tc>
      </w:tr>
    </w:tbl>
    <w:p w14:paraId="2FD6F94B" w14:textId="77777777" w:rsidR="002A04F3" w:rsidRPr="002A04F3" w:rsidRDefault="002A04F3" w:rsidP="002A04F3"/>
    <w:p w14:paraId="1482977C" w14:textId="5C3408FB" w:rsidR="007346E9" w:rsidRDefault="009A1851" w:rsidP="00DB5558">
      <w:r>
        <w:t>One remaining issue relating to the additional RACH configuration is what configuration tables to use. According to previous agreements, either the existing table for unpaired spectrum is used, or new entrie</w:t>
      </w:r>
      <w:r w:rsidR="000C514E">
        <w:t>s</w:t>
      </w:r>
      <w:r>
        <w:t xml:space="preserve"> may be introduced on top of the existing ones. Additionally, for FR1, the configuration tables for paired spectrum may be used. In our view, the existing tables provide sufficient flexibility for both FR1 and FR2, why Alt. 1 is preferred for both cases. As is evident from Table 6.3.3.2-2 and Table 6.3.3.2-3 in TS 38.211, </w:t>
      </w:r>
      <w:r w:rsidR="000C514E">
        <w:t>e.g.,</w:t>
      </w:r>
      <w:r>
        <w:t xml:space="preserve"> for preamble formats 0 and 3, the same number of entries exist in both tables, providing the same amount of flexibility. Any exception from the already specified </w:t>
      </w:r>
      <w:proofErr w:type="spellStart"/>
      <w:r>
        <w:t>behavior</w:t>
      </w:r>
      <w:proofErr w:type="spellEnd"/>
      <w:r>
        <w:t xml:space="preserve"> should be properly justified.</w:t>
      </w:r>
    </w:p>
    <w:p w14:paraId="551FAB0B" w14:textId="5BF96D44" w:rsidR="00DB5558" w:rsidRPr="00D42EE9" w:rsidRDefault="009A1851" w:rsidP="00DB5558">
      <w:pPr>
        <w:pStyle w:val="Proposal"/>
      </w:pPr>
      <w:bookmarkStart w:id="9" w:name="_Toc166256777"/>
      <w:r>
        <w:t xml:space="preserve">The additional RACH configuration </w:t>
      </w:r>
      <w:r w:rsidR="00DB5558">
        <w:t>use</w:t>
      </w:r>
      <w:r>
        <w:t>s the</w:t>
      </w:r>
      <w:r w:rsidR="00DB5558">
        <w:t xml:space="preserve"> existing PRACH </w:t>
      </w:r>
      <w:r w:rsidR="00DB5558" w:rsidRPr="00F316F7">
        <w:rPr>
          <w:lang w:val="en-US"/>
        </w:rPr>
        <w:t>configurations table</w:t>
      </w:r>
      <w:r w:rsidR="00DB5558">
        <w:rPr>
          <w:lang w:val="en-US"/>
        </w:rPr>
        <w:t>s</w:t>
      </w:r>
      <w:r w:rsidR="00DB5558" w:rsidRPr="00F316F7">
        <w:rPr>
          <w:lang w:val="en-US"/>
        </w:rPr>
        <w:t xml:space="preserve"> for unpaired spectrum</w:t>
      </w:r>
      <w:r>
        <w:rPr>
          <w:lang w:val="en-US"/>
        </w:rPr>
        <w:t xml:space="preserve"> for both FR1 and FR2</w:t>
      </w:r>
      <w:r w:rsidR="00DB5558">
        <w:rPr>
          <w:lang w:val="en-US"/>
        </w:rPr>
        <w:t xml:space="preserve">, </w:t>
      </w:r>
      <w:r w:rsidR="00DB5558" w:rsidRPr="00F316F7">
        <w:rPr>
          <w:lang w:val="en-US"/>
        </w:rPr>
        <w:t>i.e., Table 6.3.3.2-4</w:t>
      </w:r>
      <w:r w:rsidR="00DB5558">
        <w:rPr>
          <w:lang w:val="en-US"/>
        </w:rPr>
        <w:t xml:space="preserve"> and </w:t>
      </w:r>
      <w:r w:rsidR="00DB5558" w:rsidRPr="00F316F7">
        <w:rPr>
          <w:lang w:val="en-US"/>
        </w:rPr>
        <w:t>Table 6.3.3.2-3</w:t>
      </w:r>
      <w:r w:rsidR="00DB5558">
        <w:rPr>
          <w:lang w:val="en-US"/>
        </w:rPr>
        <w:t>, respectively (Alt. 1).</w:t>
      </w:r>
      <w:bookmarkEnd w:id="9"/>
    </w:p>
    <w:p w14:paraId="0DA665BA" w14:textId="41578FE0" w:rsidR="00205CB4" w:rsidRPr="00205CB4" w:rsidRDefault="00205CB4" w:rsidP="004E2EA3">
      <w:r>
        <w:t xml:space="preserve">Closely related to the PRACH configuration tables and left as an FFS in the </w:t>
      </w:r>
      <w:r w:rsidR="008578CB">
        <w:t>agreement</w:t>
      </w:r>
      <w:r>
        <w:t>, is whether any additional functionality is need</w:t>
      </w:r>
      <w:r w:rsidR="008578CB">
        <w:t>ed</w:t>
      </w:r>
      <w:r>
        <w:t xml:space="preserve"> to control </w:t>
      </w:r>
      <w:r w:rsidR="008578CB">
        <w:t xml:space="preserve">RO density, considering the PRACH tables have not been designed with the intention of using more than one table at a time. Hence, introducing a second PRACH configuration, or even including additional ROs in a single PRACH configuration, may result in unnecessarily large PRACH overhead. For that reason, it would be sensible to include a mechanism to further restrict the number of ROs </w:t>
      </w:r>
      <w:r w:rsidR="008578CB">
        <w:lastRenderedPageBreak/>
        <w:t>such that not all SBFD ROs contained in SBFD symbols and the UL subband are validated. This may be achieved, e.g., by invalidating certain subframes among the set of valid subframes in the PRACH configuration.</w:t>
      </w:r>
    </w:p>
    <w:p w14:paraId="61500CB4" w14:textId="0501C65E" w:rsidR="00DB5558" w:rsidRDefault="00651360" w:rsidP="00651360">
      <w:pPr>
        <w:pStyle w:val="Proposal"/>
      </w:pPr>
      <w:bookmarkStart w:id="10" w:name="_Toc166256778"/>
      <w:r>
        <w:t>For the additional RACH configuration, support further RO validation restrictions, e.g., by an RO puncturing bitmap.</w:t>
      </w:r>
      <w:bookmarkEnd w:id="10"/>
    </w:p>
    <w:p w14:paraId="61147A05" w14:textId="63B6184C" w:rsidR="003F686D" w:rsidRDefault="008578CB" w:rsidP="00DB5558">
      <w:r>
        <w:t xml:space="preserve">In RAN1 #116-bis, it was agreed that a separate SSB-to-RO mapping should be used for the single RACH configuration. There are </w:t>
      </w:r>
      <w:r w:rsidR="0075424B">
        <w:t>even stronger</w:t>
      </w:r>
      <w:r>
        <w:t xml:space="preserve"> reasons why that should be the case </w:t>
      </w:r>
      <w:r w:rsidR="0075424B">
        <w:t>for separate PRACH preambles, e.g., backwards compatibility and</w:t>
      </w:r>
      <w:r w:rsidR="00312516">
        <w:t xml:space="preserve"> different configurations, e.g., SCS or power settings. Hence, we propose to use separate SSB-to-RO mapping also for the additional RACH configuration.</w:t>
      </w:r>
    </w:p>
    <w:p w14:paraId="491A7558" w14:textId="599149B8" w:rsidR="0032313B" w:rsidRDefault="0032313B" w:rsidP="0032313B">
      <w:pPr>
        <w:pStyle w:val="Proposal"/>
      </w:pPr>
      <w:bookmarkStart w:id="11" w:name="_Toc166256779"/>
      <w:r>
        <w:t xml:space="preserve">Use a separate SSB-to-RO mapping for </w:t>
      </w:r>
      <w:r w:rsidR="0075424B">
        <w:t>the additional RACH configuration (</w:t>
      </w:r>
      <w:r>
        <w:t>Option 2</w:t>
      </w:r>
      <w:r w:rsidR="0075424B">
        <w:t>)</w:t>
      </w:r>
      <w:r>
        <w:t>.</w:t>
      </w:r>
      <w:bookmarkEnd w:id="11"/>
    </w:p>
    <w:p w14:paraId="046AB4E1" w14:textId="3D7C9513" w:rsidR="003F686D" w:rsidRDefault="0075424B" w:rsidP="00DB5558">
      <w:r>
        <w:t xml:space="preserve">Also discussed in RAN1 #116-bis is the RO validation rules, where the two alternatives were whether ROs (entirely located) in non-SBFD symbols should be valid or not. Our view is that they should not, for a few reasons. First, there may be collisions with legacy ROs that would need resolution. Second, the need is doubtful, since </w:t>
      </w:r>
      <w:r w:rsidR="008E13E4">
        <w:t xml:space="preserve">the additional RACH configuration would already imply more PRACH resources than for legacy, and capacity is not the primary reason for introducing the additional RACH configuration and it would reduce UL capacity. Fourth, UL scheduling would be more complicated since contiguous </w:t>
      </w:r>
      <w:r w:rsidR="004E2EA3">
        <w:t xml:space="preserve">Type 1 </w:t>
      </w:r>
      <w:r w:rsidR="008E13E4">
        <w:t xml:space="preserve">scheduling would not be </w:t>
      </w:r>
      <w:r w:rsidR="004E2EA3">
        <w:t>applicable</w:t>
      </w:r>
      <w:r w:rsidR="008E13E4">
        <w:t xml:space="preserve"> around the additional ROs in UL symbols</w:t>
      </w:r>
      <w:r w:rsidR="00693AF8">
        <w:t>, affecting scheduling efficiency</w:t>
      </w:r>
      <w:r w:rsidR="008E13E4">
        <w:t>.</w:t>
      </w:r>
      <w:r w:rsidR="002438BF" w:rsidDel="002438BF">
        <w:t xml:space="preserve"> </w:t>
      </w:r>
    </w:p>
    <w:p w14:paraId="750F1F23" w14:textId="1D45FC20" w:rsidR="00561197" w:rsidRPr="00693AF8" w:rsidRDefault="00B23341" w:rsidP="00DB5558">
      <w:pPr>
        <w:pStyle w:val="Proposal"/>
      </w:pPr>
      <w:bookmarkStart w:id="12" w:name="_Toc166256780"/>
      <w:r>
        <w:t xml:space="preserve">For RO validation of the additional RACH configuration, </w:t>
      </w:r>
      <w:r w:rsidR="00561197">
        <w:t xml:space="preserve">ROs in SBFD symbols are valid </w:t>
      </w:r>
      <w:r>
        <w:t xml:space="preserve">and </w:t>
      </w:r>
      <w:r w:rsidRPr="00B31136">
        <w:rPr>
          <w:lang w:val="en-US"/>
        </w:rPr>
        <w:t>ROs in non-SBFD symbols are invalid for SBFD-aware UEs</w:t>
      </w:r>
      <w:r>
        <w:rPr>
          <w:lang w:val="en-US"/>
        </w:rPr>
        <w:t xml:space="preserve"> (Alt. 2-3).</w:t>
      </w:r>
      <w:bookmarkEnd w:id="12"/>
    </w:p>
    <w:p w14:paraId="3ACF9826" w14:textId="59013671" w:rsidR="00693AF8" w:rsidRPr="00693AF8" w:rsidRDefault="005E184A" w:rsidP="00693AF8">
      <w:r>
        <w:t xml:space="preserve">In </w:t>
      </w:r>
      <w:r>
        <w:fldChar w:fldCharType="begin"/>
      </w:r>
      <w:r>
        <w:instrText xml:space="preserve"> REF _Ref165971304 \r \h </w:instrText>
      </w:r>
      <w:r>
        <w:fldChar w:fldCharType="separate"/>
      </w:r>
      <w:r w:rsidR="00560801">
        <w:t>Proposal 2</w:t>
      </w:r>
      <w:r>
        <w:fldChar w:fldCharType="end"/>
      </w:r>
      <w:r>
        <w:t>, we</w:t>
      </w:r>
      <w:r w:rsidR="00693AF8">
        <w:t xml:space="preserve"> propose to reinterpret </w:t>
      </w:r>
      <w:r w:rsidR="00693AF8" w:rsidRPr="00693AF8">
        <w:t>msg1-FrequencyStart</w:t>
      </w:r>
      <w:r w:rsidR="00693AF8">
        <w:t xml:space="preserve"> </w:t>
      </w:r>
      <w:r>
        <w:t xml:space="preserve">for the single RACH configuration, </w:t>
      </w:r>
      <w:r w:rsidR="00693AF8">
        <w:t xml:space="preserve">to relate to the start of the UL subband instead of the start of PRB 0. </w:t>
      </w:r>
      <w:r>
        <w:t>Specifying the same</w:t>
      </w:r>
      <w:r w:rsidR="00693AF8">
        <w:t xml:space="preserve"> reinterpretation for the additional RACH configuration would allow it to be configured without needing to provide an additional </w:t>
      </w:r>
      <w:r w:rsidR="00693AF8" w:rsidRPr="00C46806">
        <w:t>msg1-FrequencyStart</w:t>
      </w:r>
      <w:r w:rsidR="00693AF8">
        <w:t>.</w:t>
      </w:r>
      <w:r>
        <w:t xml:space="preserve"> Hence, we propose to not specify </w:t>
      </w:r>
      <w:r w:rsidRPr="00693AF8">
        <w:t>msg1-FrequencyStart</w:t>
      </w:r>
      <w:r>
        <w:t xml:space="preserve"> for the additional RACH configuration but instead reuse the existing one with the same reinterpretation as for the single RACH configuration.</w:t>
      </w:r>
    </w:p>
    <w:p w14:paraId="4C7F3F2C" w14:textId="7930BB42" w:rsidR="005A389A" w:rsidRPr="00C46806" w:rsidRDefault="005E184A" w:rsidP="00C46806">
      <w:pPr>
        <w:pStyle w:val="Proposal"/>
      </w:pPr>
      <w:bookmarkStart w:id="13" w:name="_Toc166256781"/>
      <w:r>
        <w:t xml:space="preserve">Do not specify an additional </w:t>
      </w:r>
      <w:r w:rsidRPr="00693AF8">
        <w:t>msg1-FrequencyStart</w:t>
      </w:r>
      <w:r w:rsidRPr="00C46806">
        <w:t xml:space="preserve"> </w:t>
      </w:r>
      <w:r>
        <w:t xml:space="preserve">and instead use the same </w:t>
      </w:r>
      <w:r w:rsidR="00C46806" w:rsidRPr="00C46806">
        <w:t>reinterpretation as for single configuration.</w:t>
      </w:r>
      <w:bookmarkEnd w:id="13"/>
    </w:p>
    <w:bookmarkEnd w:id="2"/>
    <w:p w14:paraId="410B8CC0" w14:textId="6BC2DD65" w:rsidR="006D7DFF" w:rsidRDefault="001459D3" w:rsidP="006D7DFF">
      <w:pPr>
        <w:pStyle w:val="Heading3"/>
      </w:pPr>
      <w:r>
        <w:t>Power control</w:t>
      </w:r>
    </w:p>
    <w:p w14:paraId="28B4F444" w14:textId="5FE0CF87" w:rsidR="006D7DFF" w:rsidRPr="006D7DFF" w:rsidRDefault="006D7DFF" w:rsidP="006D7DFF">
      <w:r>
        <w:t>As we elaborate in Sec. </w:t>
      </w:r>
      <w:r>
        <w:fldChar w:fldCharType="begin"/>
      </w:r>
      <w:r>
        <w:instrText xml:space="preserve"> REF _Ref165895843 \r \h </w:instrText>
      </w:r>
      <w:r>
        <w:fldChar w:fldCharType="separate"/>
      </w:r>
      <w:r w:rsidR="00560801">
        <w:t>2.2</w:t>
      </w:r>
      <w:r>
        <w:fldChar w:fldCharType="end"/>
      </w:r>
      <w:r>
        <w:t xml:space="preserve">, the interference levels in an SBFD symbol and an UL symbol may significantly differ. Furthermore, interference levels will differ among SBFD symbols, predominantly depending on DL traffic load for the </w:t>
      </w:r>
      <w:proofErr w:type="gramStart"/>
      <w:r>
        <w:t>particular SBFD</w:t>
      </w:r>
      <w:proofErr w:type="gramEnd"/>
      <w:r>
        <w:t xml:space="preserve"> symbol. Fortunately, the load is known by the gNB since the gNB itself is responsible for it</w:t>
      </w:r>
      <w:r w:rsidR="00A52B1E">
        <w:t>, provided self-interference is the dominant factor</w:t>
      </w:r>
      <w:r>
        <w:t xml:space="preserve">. </w:t>
      </w:r>
      <w:r w:rsidR="00A52B1E">
        <w:t>However, that may not always be the case, for which reason</w:t>
      </w:r>
      <w:r w:rsidR="002438BF">
        <w:t xml:space="preserve"> </w:t>
      </w:r>
      <w:r>
        <w:t>a separate power control is sensible</w:t>
      </w:r>
      <w:r w:rsidR="00372E81">
        <w:t>.</w:t>
      </w:r>
      <w:r>
        <w:t xml:space="preserve"> </w:t>
      </w:r>
      <w:r w:rsidR="00372E81">
        <w:t>That would</w:t>
      </w:r>
      <w:r w:rsidR="002438BF">
        <w:t xml:space="preserve"> </w:t>
      </w:r>
      <w:r>
        <w:t xml:space="preserve">allow the network to configure approximately the same detection performance between legacy ROs and SBFD ROs </w:t>
      </w:r>
      <w:r w:rsidR="00DC4077">
        <w:t xml:space="preserve">for a base load scenario </w:t>
      </w:r>
      <w:r>
        <w:t>for the single configuration</w:t>
      </w:r>
      <w:r w:rsidR="00DC4077">
        <w:t xml:space="preserve">. Additionally, it allows </w:t>
      </w:r>
      <w:r>
        <w:t>adjust</w:t>
      </w:r>
      <w:r w:rsidR="00DC4077">
        <w:t>ing</w:t>
      </w:r>
      <w:r>
        <w:t xml:space="preserve"> detection sensitivity vs range for the additional RACH configuration </w:t>
      </w:r>
      <w:r w:rsidR="00DC4077">
        <w:t>in</w:t>
      </w:r>
      <w:r>
        <w:t xml:space="preserve"> the dual RACH configuration</w:t>
      </w:r>
      <w:r w:rsidR="00DC4077">
        <w:t xml:space="preserve"> option</w:t>
      </w:r>
      <w:r>
        <w:t>.</w:t>
      </w:r>
    </w:p>
    <w:p w14:paraId="0599CDF0" w14:textId="37AF53E8" w:rsidR="001459D3" w:rsidRPr="001459D3" w:rsidRDefault="001459D3" w:rsidP="001459D3">
      <w:pPr>
        <w:pStyle w:val="Proposal"/>
      </w:pPr>
      <w:bookmarkStart w:id="14" w:name="_Toc166256782"/>
      <w:r>
        <w:t>Support separate power control for SBFD ROs for both single and dual RACH configurations.</w:t>
      </w:r>
      <w:bookmarkEnd w:id="14"/>
    </w:p>
    <w:p w14:paraId="5F9461E6" w14:textId="2ADFCE72" w:rsidR="00651360" w:rsidRDefault="00651360" w:rsidP="00DB5558">
      <w:pPr>
        <w:pStyle w:val="Heading3"/>
      </w:pPr>
      <w:r>
        <w:t>Prioritization</w:t>
      </w:r>
    </w:p>
    <w:p w14:paraId="42E5EE19" w14:textId="162D86C0" w:rsidR="006D7DFF" w:rsidRDefault="006D7DFF" w:rsidP="006D7DFF">
      <w:r w:rsidRPr="00D454C2">
        <w:t xml:space="preserve">Considering </w:t>
      </w:r>
      <w:r>
        <w:t xml:space="preserve">the deployment scenario and use case for the single SBFD RACH configuration is industrial and enterprise deployments, considering both capacity and latency bottlenecks, there are good arguments both in </w:t>
      </w:r>
      <w:proofErr w:type="spellStart"/>
      <w:r>
        <w:t>favor</w:t>
      </w:r>
      <w:proofErr w:type="spellEnd"/>
      <w:r>
        <w:t xml:space="preserve"> of and against prioritization. In </w:t>
      </w:r>
      <w:proofErr w:type="spellStart"/>
      <w:r>
        <w:t>favor</w:t>
      </w:r>
      <w:proofErr w:type="spellEnd"/>
      <w:r>
        <w:t xml:space="preserve"> of prioritization is to steer SBFD capable UEs away from sparse legacy RO locations, </w:t>
      </w:r>
      <w:r w:rsidR="004D75DF">
        <w:t>a</w:t>
      </w:r>
      <w:r>
        <w:t xml:space="preserve">gainst prioritization </w:t>
      </w:r>
      <w:r w:rsidR="004D75DF">
        <w:t>is that for low late</w:t>
      </w:r>
      <w:r w:rsidR="00DC4077">
        <w:t>n</w:t>
      </w:r>
      <w:r w:rsidR="004D75DF">
        <w:t xml:space="preserve">cy scenarios, </w:t>
      </w:r>
      <w:r>
        <w:t xml:space="preserve">a UE should be allowed to use whichever RO it finds most suitable. For that reason, </w:t>
      </w:r>
      <w:r w:rsidR="00DC4077">
        <w:t>whether</w:t>
      </w:r>
      <w:r w:rsidR="004D75DF">
        <w:t xml:space="preserve"> any prioritization should be made should be up to network configuration.</w:t>
      </w:r>
    </w:p>
    <w:p w14:paraId="756B72C0" w14:textId="05F643BB" w:rsidR="004D75DF" w:rsidRPr="00D454C2" w:rsidRDefault="004D75DF" w:rsidP="006D7DFF">
      <w:pPr>
        <w:rPr>
          <w:lang w:val="en-US"/>
        </w:rPr>
      </w:pPr>
      <w:r>
        <w:t xml:space="preserve">For the dual SBFD configuration case, the additional RACH configuration may introduce increased RACH performance in terms of coverage or range. </w:t>
      </w:r>
      <w:r w:rsidR="00DC4077">
        <w:t>Even for this case it is sensible to allow for some configurability, considering, e.g., assumptions on UE distribution in relation to the range or coverage situation of different UEs. Hence, we propose to support network configuration of prioritization between SBFD and legacy ROs for both the single and dual RACH options.</w:t>
      </w:r>
    </w:p>
    <w:p w14:paraId="44E7852C" w14:textId="3E5EB8B9" w:rsidR="001459D3" w:rsidRPr="00404BB0" w:rsidRDefault="001459D3" w:rsidP="001459D3">
      <w:pPr>
        <w:pStyle w:val="Proposal"/>
        <w:rPr>
          <w:lang w:val="x-none"/>
        </w:rPr>
      </w:pPr>
      <w:bookmarkStart w:id="15" w:name="_Toc166256783"/>
      <w:r>
        <w:rPr>
          <w:lang w:val="en-US"/>
        </w:rPr>
        <w:lastRenderedPageBreak/>
        <w:t>Support configuration of prioritization between SBFD and legacy ROs for both single and dual RACH configurations.</w:t>
      </w:r>
      <w:bookmarkEnd w:id="15"/>
    </w:p>
    <w:p w14:paraId="7424B0AE" w14:textId="0FE2E41A" w:rsidR="00404BB0" w:rsidRPr="00404BB0" w:rsidRDefault="00404BB0" w:rsidP="00404BB0">
      <w:pPr>
        <w:rPr>
          <w:lang w:val="x-none"/>
        </w:rPr>
      </w:pPr>
      <w:r w:rsidRPr="00404BB0">
        <w:t>However, we also acknowledge that this area is bordering on RAN2’s responsibilities</w:t>
      </w:r>
      <w:r>
        <w:t>, which is why RAN1 should be careful with making too far-reaching agreements independent of RAN2.</w:t>
      </w:r>
    </w:p>
    <w:p w14:paraId="17FECF2A" w14:textId="60C0CD64" w:rsidR="00DB5558" w:rsidRDefault="00DB5558" w:rsidP="00DB5558">
      <w:pPr>
        <w:pStyle w:val="Heading3"/>
      </w:pPr>
      <w:r>
        <w:t>Repetitions</w:t>
      </w:r>
    </w:p>
    <w:p w14:paraId="284CA625" w14:textId="12F03EB6" w:rsidR="00D9051D" w:rsidRPr="000E116E" w:rsidRDefault="00D9051D" w:rsidP="00D9051D">
      <w:r>
        <w:t xml:space="preserve">In RAN1 #116, PRACH repetitions were briefly discussed with the following </w:t>
      </w:r>
      <w:r w:rsidR="007979A4">
        <w:t xml:space="preserve">outcome </w:t>
      </w:r>
      <w:r w:rsidR="007979A4">
        <w:fldChar w:fldCharType="begin"/>
      </w:r>
      <w:r w:rsidR="007979A4">
        <w:instrText xml:space="preserve"> REF _Ref166054837 \r \h </w:instrText>
      </w:r>
      <w:r w:rsidR="007979A4">
        <w:fldChar w:fldCharType="separate"/>
      </w:r>
      <w:r w:rsidR="00560801">
        <w:t>[3]</w:t>
      </w:r>
      <w:r w:rsidR="007979A4">
        <w:fldChar w:fldCharType="end"/>
      </w:r>
      <w:r>
        <w:t>:</w:t>
      </w:r>
    </w:p>
    <w:tbl>
      <w:tblPr>
        <w:tblStyle w:val="TableGrid"/>
        <w:tblW w:w="0" w:type="auto"/>
        <w:tblLook w:val="04A0" w:firstRow="1" w:lastRow="0" w:firstColumn="1" w:lastColumn="0" w:noHBand="0" w:noVBand="1"/>
      </w:tblPr>
      <w:tblGrid>
        <w:gridCol w:w="9629"/>
      </w:tblGrid>
      <w:tr w:rsidR="00D9051D" w14:paraId="0BA4F1D5" w14:textId="77777777" w:rsidTr="00D8699A">
        <w:tc>
          <w:tcPr>
            <w:tcW w:w="9629" w:type="dxa"/>
          </w:tcPr>
          <w:p w14:paraId="1F8EB48E" w14:textId="77777777" w:rsidR="00D9051D" w:rsidRPr="000E116E" w:rsidRDefault="00D9051D" w:rsidP="004E2EA3">
            <w:pPr>
              <w:spacing w:before="240"/>
              <w:rPr>
                <w:b/>
                <w:bCs/>
                <w:sz w:val="14"/>
                <w:szCs w:val="14"/>
                <w:highlight w:val="green"/>
              </w:rPr>
            </w:pPr>
            <w:r w:rsidRPr="000E116E">
              <w:rPr>
                <w:b/>
                <w:sz w:val="20"/>
                <w:szCs w:val="14"/>
                <w:highlight w:val="green"/>
              </w:rPr>
              <w:t>Agreement</w:t>
            </w:r>
          </w:p>
          <w:p w14:paraId="40B180A1" w14:textId="77777777" w:rsidR="00D9051D" w:rsidRPr="000E116E" w:rsidRDefault="00D9051D" w:rsidP="00D8699A">
            <w:pPr>
              <w:rPr>
                <w:sz w:val="14"/>
                <w:szCs w:val="14"/>
              </w:rPr>
            </w:pPr>
            <w:proofErr w:type="spellStart"/>
            <w:r w:rsidRPr="000E116E">
              <w:rPr>
                <w:sz w:val="20"/>
                <w:szCs w:val="14"/>
              </w:rPr>
              <w:t>For</w:t>
            </w:r>
            <w:proofErr w:type="spellEnd"/>
            <w:r w:rsidRPr="000E116E">
              <w:rPr>
                <w:sz w:val="20"/>
                <w:szCs w:val="14"/>
              </w:rPr>
              <w:t xml:space="preserve"> SBFD </w:t>
            </w:r>
            <w:proofErr w:type="spellStart"/>
            <w:r w:rsidRPr="000E116E">
              <w:rPr>
                <w:sz w:val="20"/>
                <w:szCs w:val="14"/>
              </w:rPr>
              <w:t>aware</w:t>
            </w:r>
            <w:proofErr w:type="spellEnd"/>
            <w:r w:rsidRPr="000E116E">
              <w:rPr>
                <w:sz w:val="20"/>
                <w:szCs w:val="14"/>
              </w:rPr>
              <w:t xml:space="preserve"> UEs in RRC CONNECTED </w:t>
            </w:r>
            <w:proofErr w:type="spellStart"/>
            <w:r w:rsidRPr="000E116E">
              <w:rPr>
                <w:sz w:val="20"/>
                <w:szCs w:val="14"/>
              </w:rPr>
              <w:t>state</w:t>
            </w:r>
            <w:proofErr w:type="spellEnd"/>
            <w:r w:rsidRPr="000E116E">
              <w:rPr>
                <w:sz w:val="20"/>
                <w:szCs w:val="14"/>
              </w:rPr>
              <w:t xml:space="preserve">, at least PRACH </w:t>
            </w:r>
            <w:proofErr w:type="spellStart"/>
            <w:r w:rsidRPr="000E116E">
              <w:rPr>
                <w:sz w:val="20"/>
                <w:szCs w:val="14"/>
              </w:rPr>
              <w:t>without</w:t>
            </w:r>
            <w:proofErr w:type="spellEnd"/>
            <w:r w:rsidRPr="000E116E">
              <w:rPr>
                <w:sz w:val="20"/>
                <w:szCs w:val="14"/>
              </w:rPr>
              <w:t xml:space="preserve"> </w:t>
            </w:r>
            <w:proofErr w:type="spellStart"/>
            <w:r w:rsidRPr="000E116E">
              <w:rPr>
                <w:sz w:val="20"/>
                <w:szCs w:val="14"/>
              </w:rPr>
              <w:t>repetition</w:t>
            </w:r>
            <w:proofErr w:type="spellEnd"/>
            <w:r w:rsidRPr="000E116E">
              <w:rPr>
                <w:sz w:val="20"/>
                <w:szCs w:val="14"/>
              </w:rPr>
              <w:t xml:space="preserve"> </w:t>
            </w:r>
            <w:proofErr w:type="spellStart"/>
            <w:r w:rsidRPr="000E116E">
              <w:rPr>
                <w:sz w:val="20"/>
                <w:szCs w:val="14"/>
              </w:rPr>
              <w:t>is</w:t>
            </w:r>
            <w:proofErr w:type="spellEnd"/>
            <w:r w:rsidRPr="000E116E">
              <w:rPr>
                <w:sz w:val="20"/>
                <w:szCs w:val="14"/>
              </w:rPr>
              <w:t xml:space="preserve"> </w:t>
            </w:r>
            <w:proofErr w:type="spellStart"/>
            <w:r w:rsidRPr="000E116E">
              <w:rPr>
                <w:sz w:val="20"/>
                <w:szCs w:val="14"/>
              </w:rPr>
              <w:t>supported</w:t>
            </w:r>
            <w:proofErr w:type="spellEnd"/>
            <w:r w:rsidRPr="000E116E">
              <w:rPr>
                <w:sz w:val="20"/>
                <w:szCs w:val="14"/>
              </w:rPr>
              <w:t xml:space="preserve"> in SBFD </w:t>
            </w:r>
            <w:proofErr w:type="spellStart"/>
            <w:r w:rsidRPr="000E116E">
              <w:rPr>
                <w:sz w:val="20"/>
                <w:szCs w:val="14"/>
              </w:rPr>
              <w:t>symbols</w:t>
            </w:r>
            <w:proofErr w:type="spellEnd"/>
            <w:r w:rsidRPr="000E116E">
              <w:rPr>
                <w:sz w:val="20"/>
                <w:szCs w:val="14"/>
              </w:rPr>
              <w:t>.</w:t>
            </w:r>
          </w:p>
          <w:p w14:paraId="74A0808B" w14:textId="77777777" w:rsidR="00D9051D" w:rsidRPr="000E116E" w:rsidRDefault="00D9051D" w:rsidP="00D9051D">
            <w:pPr>
              <w:pStyle w:val="ListParagraph"/>
              <w:numPr>
                <w:ilvl w:val="0"/>
                <w:numId w:val="28"/>
              </w:numPr>
              <w:spacing w:line="240" w:lineRule="auto"/>
              <w:jc w:val="left"/>
              <w:rPr>
                <w:sz w:val="14"/>
                <w:szCs w:val="14"/>
              </w:rPr>
            </w:pPr>
            <w:r w:rsidRPr="000E116E">
              <w:rPr>
                <w:sz w:val="20"/>
                <w:szCs w:val="14"/>
              </w:rPr>
              <w:t>FFS PRACH repetition in SBFD symbols.</w:t>
            </w:r>
          </w:p>
          <w:p w14:paraId="4C704F74" w14:textId="77777777" w:rsidR="00D9051D" w:rsidRPr="007F2A38" w:rsidRDefault="00D9051D" w:rsidP="00D9051D">
            <w:pPr>
              <w:pStyle w:val="ListParagraph"/>
              <w:numPr>
                <w:ilvl w:val="0"/>
                <w:numId w:val="28"/>
              </w:numPr>
              <w:spacing w:after="240" w:line="240" w:lineRule="auto"/>
              <w:jc w:val="left"/>
            </w:pPr>
            <w:r w:rsidRPr="000E116E">
              <w:rPr>
                <w:sz w:val="20"/>
                <w:szCs w:val="14"/>
              </w:rPr>
              <w:t>FFS PRACH repetition across SBFD symbols and non-</w:t>
            </w:r>
            <w:proofErr w:type="spellStart"/>
            <w:r w:rsidRPr="000E116E">
              <w:rPr>
                <w:sz w:val="20"/>
                <w:szCs w:val="14"/>
              </w:rPr>
              <w:t>SBFDs</w:t>
            </w:r>
            <w:proofErr w:type="spellEnd"/>
            <w:r w:rsidRPr="000E116E">
              <w:rPr>
                <w:sz w:val="20"/>
                <w:szCs w:val="14"/>
              </w:rPr>
              <w:t xml:space="preserve"> symbols.</w:t>
            </w:r>
          </w:p>
        </w:tc>
      </w:tr>
    </w:tbl>
    <w:p w14:paraId="51DE1FF1" w14:textId="0EDA81B1" w:rsidR="00D9051D" w:rsidRPr="00766B5F" w:rsidRDefault="00D9051D" w:rsidP="00D9051D">
      <w:pPr>
        <w:spacing w:before="240"/>
      </w:pPr>
      <w:r w:rsidRPr="00766B5F">
        <w:t>PRACH preamble repetitions were introduced in Rel-18 to improve cell coverage. In short, it allows for non-coherent combining of a PRACH preamble that is transmitted repetitively in multiple ROs. The number of repetitions is determined from a combination of network configuration and UE measurements. We don’t see any obstacle to include repetitions in the SBFD random access work, but doing so will, in our view, call for some ca</w:t>
      </w:r>
      <w:r w:rsidR="00372E81">
        <w:t>u</w:t>
      </w:r>
      <w:r w:rsidRPr="00766B5F">
        <w:t>tion on how repetitions are performed.</w:t>
      </w:r>
    </w:p>
    <w:p w14:paraId="517C36CB" w14:textId="77777777" w:rsidR="00D9051D" w:rsidRPr="00766B5F" w:rsidRDefault="00D9051D" w:rsidP="00D9051D">
      <w:r w:rsidRPr="00766B5F">
        <w:t>For the double PRACH configuration case, it is obvious that ROs are limited to ROs associated with the same PRACH configuration. Consequently, repetitions may only take place within SBFD ROs in case the dedicated SBFD PRACH configuration is used and correspondingly for the legacy PRACH configuration.</w:t>
      </w:r>
    </w:p>
    <w:p w14:paraId="254EE636" w14:textId="39BD8F77" w:rsidR="00D9051D" w:rsidRPr="00766B5F" w:rsidRDefault="00D9051D" w:rsidP="00D9051D">
      <w:r w:rsidRPr="00766B5F">
        <w:t>For the single PRACH configuration case, the situation is a bit more complicated. In our understanding, it is necessary that SSB-to-RO mapping is separated for legacy ROs and SBFD ROs. However, that does not necessarily exclude both sets of ROs being used for PRACH repetitions. Allowing repetitions over both sets of ROs would allow for optimized latency for poor coverage scenarios where repetitions may be useful. On the other hand, it would also put some additional complexity requirements on the gNB where multiple repetition hypotheses would be necessary, to cover both legacy UE repetitions over legacy ROs and SBFD capable UEs transmitting PRACH over both sets of ROs. What is potentially worse, differentiating legacy UEs from SBFD UEs during random access may not be possible, if both legacy UEs and SBFD UE use legacy ROs. Additionally, the gNB may determine that the SINR between the two sets of ROs differs too much, such that repetitions over both sets have a limited use. Hence, power control for the two ROs could be challenging. For that reason, we propose to provide a separate indication whether repetitions should be performed over both sets of ROs or only within a single set of ROs.</w:t>
      </w:r>
    </w:p>
    <w:p w14:paraId="5EE25EA3" w14:textId="77777777" w:rsidR="00D9051D" w:rsidRDefault="00D9051D" w:rsidP="00887256">
      <w:pPr>
        <w:pStyle w:val="Observation"/>
      </w:pPr>
      <w:bookmarkStart w:id="16" w:name="_Toc163239638"/>
      <w:bookmarkStart w:id="17" w:name="_Toc166256767"/>
      <w:r>
        <w:t>Allowing repetitions among legacy and SBFD ROs will require the gNB to handle multiple hypotheses on which ROs are used for repetitions, complicate different power control schemes between legacy and SBFD ROs and may introduce ambiguity in the identification of an SBFD capable UE.</w:t>
      </w:r>
      <w:bookmarkEnd w:id="16"/>
      <w:bookmarkEnd w:id="17"/>
    </w:p>
    <w:p w14:paraId="2D5575D2" w14:textId="77777777" w:rsidR="00D9051D" w:rsidRDefault="00D9051D" w:rsidP="00D9051D">
      <w:pPr>
        <w:pStyle w:val="Proposal"/>
      </w:pPr>
      <w:bookmarkStart w:id="18" w:name="_Toc163239655"/>
      <w:bookmarkStart w:id="19" w:name="_Toc166256784"/>
      <w:r w:rsidRPr="000E116E">
        <w:t>SBFD random access supports PRACH repetitions.</w:t>
      </w:r>
      <w:bookmarkEnd w:id="18"/>
      <w:bookmarkEnd w:id="19"/>
    </w:p>
    <w:p w14:paraId="4295D4A0" w14:textId="426C885D" w:rsidR="00D9051D" w:rsidRPr="00CC73CA" w:rsidRDefault="00D9051D" w:rsidP="00D9051D">
      <w:pPr>
        <w:pStyle w:val="Proposal"/>
      </w:pPr>
      <w:bookmarkStart w:id="20" w:name="_Toc163239656"/>
      <w:bookmarkStart w:id="21" w:name="_Toc166256785"/>
      <w:r w:rsidRPr="00E160BA">
        <w:t xml:space="preserve">Repetitions among different RACH </w:t>
      </w:r>
      <w:r w:rsidR="002F122E">
        <w:t>configurations</w:t>
      </w:r>
      <w:r w:rsidRPr="00E160BA">
        <w:t xml:space="preserve"> is prohibited. Repetitions among SBFD ROs and legacy ROs for the same PRACH preamble format is configurable.</w:t>
      </w:r>
      <w:bookmarkStart w:id="22" w:name="_Toc163219935"/>
      <w:bookmarkStart w:id="23" w:name="_Toc163133521"/>
      <w:bookmarkStart w:id="24" w:name="_Toc163133578"/>
      <w:bookmarkStart w:id="25" w:name="_Toc163219936"/>
      <w:bookmarkStart w:id="26" w:name="_Toc163133522"/>
      <w:bookmarkStart w:id="27" w:name="_Toc163133579"/>
      <w:bookmarkStart w:id="28" w:name="_Toc163219937"/>
      <w:bookmarkStart w:id="29" w:name="_Toc163219938"/>
      <w:bookmarkStart w:id="30" w:name="_Toc163219939"/>
      <w:bookmarkStart w:id="31" w:name="_Toc163219942"/>
      <w:bookmarkEnd w:id="20"/>
      <w:bookmarkEnd w:id="22"/>
      <w:bookmarkEnd w:id="23"/>
      <w:bookmarkEnd w:id="24"/>
      <w:bookmarkEnd w:id="25"/>
      <w:bookmarkEnd w:id="26"/>
      <w:bookmarkEnd w:id="27"/>
      <w:bookmarkEnd w:id="28"/>
      <w:bookmarkEnd w:id="29"/>
      <w:bookmarkEnd w:id="30"/>
      <w:bookmarkEnd w:id="31"/>
      <w:bookmarkEnd w:id="21"/>
    </w:p>
    <w:p w14:paraId="6DD37969" w14:textId="323D42AB" w:rsidR="00CB00E4" w:rsidRDefault="0037162C" w:rsidP="001C5CB0">
      <w:pPr>
        <w:pStyle w:val="Heading3"/>
      </w:pPr>
      <w:r>
        <w:t>S</w:t>
      </w:r>
      <w:r w:rsidR="001C5CB0">
        <w:t>upport of SBFD random access</w:t>
      </w:r>
    </w:p>
    <w:p w14:paraId="533EC31B" w14:textId="73336259" w:rsidR="001C5CB0" w:rsidRPr="00C160FB" w:rsidRDefault="001C5CB0" w:rsidP="001C5CB0">
      <w:r>
        <w:t xml:space="preserve">Even though the network supports SBFD, it may not want to </w:t>
      </w:r>
      <w:r w:rsidR="0037162C">
        <w:t xml:space="preserve">enable </w:t>
      </w:r>
      <w:r>
        <w:t xml:space="preserve">SBFD RA. One reason for that may be that SBFD RA may result in additional overhead or maybe the UL subbands are only needed in RRC CONNECTED mode for less mobility sensitive devices. Particularly if IDLE mode RA is supported, the UE needs to know already from reading SIB1 whether SBFD RA is supported, to be able to benefit from it. For the double PRACH configuration, the inclusion of the second configuration in RRC would implicitly also indicate a support for SBFD RA, however for the single RACH configuration case, there would not necessarily be such </w:t>
      </w:r>
      <w:r>
        <w:lastRenderedPageBreak/>
        <w:t>an indication, not even for RRC_CONNECTED. For that reason, we propose to explicitly indicate whether SBFD RA is supported for the single PRACH configuration.</w:t>
      </w:r>
    </w:p>
    <w:p w14:paraId="29CFB42F" w14:textId="77777777" w:rsidR="001C5CB0" w:rsidRDefault="001C5CB0" w:rsidP="00887256">
      <w:pPr>
        <w:pStyle w:val="Observation"/>
      </w:pPr>
      <w:bookmarkStart w:id="32" w:name="_Toc163239634"/>
      <w:bookmarkStart w:id="33" w:name="_Toc166256768"/>
      <w:r>
        <w:t>Even if the network supports SBFD, the additional overhead associated with the introduction of more ROs should not be mandated.</w:t>
      </w:r>
      <w:bookmarkEnd w:id="32"/>
      <w:bookmarkEnd w:id="33"/>
    </w:p>
    <w:p w14:paraId="62402E58" w14:textId="02EEABBB" w:rsidR="001C5CB0" w:rsidRDefault="001C5CB0" w:rsidP="001C5CB0">
      <w:pPr>
        <w:pStyle w:val="Proposal"/>
      </w:pPr>
      <w:bookmarkStart w:id="34" w:name="_Toc163239648"/>
      <w:bookmarkStart w:id="35" w:name="_Toc166256786"/>
      <w:r>
        <w:t xml:space="preserve">Network </w:t>
      </w:r>
      <w:r w:rsidR="002F122E">
        <w:t>enabling</w:t>
      </w:r>
      <w:r>
        <w:t xml:space="preserve"> of SBFD RACH is indicated in RRC </w:t>
      </w:r>
      <w:r w:rsidR="002F122E">
        <w:t>for the</w:t>
      </w:r>
      <w:r>
        <w:t xml:space="preserve"> single RACH configuration</w:t>
      </w:r>
      <w:bookmarkEnd w:id="34"/>
      <w:r>
        <w:t>.</w:t>
      </w:r>
      <w:bookmarkEnd w:id="35"/>
    </w:p>
    <w:p w14:paraId="4D6AD9D6" w14:textId="5D1D9206" w:rsidR="00CB00E4" w:rsidRDefault="00CB00E4" w:rsidP="00CB00E4">
      <w:pPr>
        <w:pStyle w:val="Heading3"/>
      </w:pPr>
      <w:r>
        <w:t>Msg2, 3, 4</w:t>
      </w:r>
    </w:p>
    <w:p w14:paraId="4855DF85" w14:textId="69EB2F03" w:rsidR="001C5CB0" w:rsidRDefault="001C5CB0" w:rsidP="001C5CB0">
      <w:pPr>
        <w:pStyle w:val="BodyText"/>
      </w:pPr>
      <w:r>
        <w:t>RAN1 #116 briefly discussed Msg2, Msg3 and Msg4</w:t>
      </w:r>
      <w:r w:rsidR="00215C1B">
        <w:t xml:space="preserve"> and</w:t>
      </w:r>
      <w:r>
        <w:t xml:space="preserve"> the following agreement </w:t>
      </w:r>
      <w:r w:rsidR="00215C1B">
        <w:t xml:space="preserve">was </w:t>
      </w:r>
      <w:r>
        <w:t>the outcome of the discussion</w:t>
      </w:r>
      <w:r w:rsidR="007979A4">
        <w:t xml:space="preserve"> </w:t>
      </w:r>
      <w:r w:rsidR="007979A4">
        <w:fldChar w:fldCharType="begin"/>
      </w:r>
      <w:r w:rsidR="007979A4">
        <w:instrText xml:space="preserve"> REF _Ref166054837 \r \h </w:instrText>
      </w:r>
      <w:r w:rsidR="007979A4">
        <w:fldChar w:fldCharType="separate"/>
      </w:r>
      <w:r w:rsidR="00560801">
        <w:t>[3]</w:t>
      </w:r>
      <w:r w:rsidR="007979A4">
        <w:fldChar w:fldCharType="end"/>
      </w:r>
      <w:r>
        <w:t>:</w:t>
      </w:r>
    </w:p>
    <w:tbl>
      <w:tblPr>
        <w:tblStyle w:val="TableGrid"/>
        <w:tblW w:w="0" w:type="auto"/>
        <w:tblLook w:val="04A0" w:firstRow="1" w:lastRow="0" w:firstColumn="1" w:lastColumn="0" w:noHBand="0" w:noVBand="1"/>
      </w:tblPr>
      <w:tblGrid>
        <w:gridCol w:w="9629"/>
      </w:tblGrid>
      <w:tr w:rsidR="001C5CB0" w14:paraId="22308D96" w14:textId="77777777" w:rsidTr="00D8699A">
        <w:tc>
          <w:tcPr>
            <w:tcW w:w="9629" w:type="dxa"/>
          </w:tcPr>
          <w:p w14:paraId="216CD8DF" w14:textId="77777777" w:rsidR="001C5CB0" w:rsidRPr="000E116E" w:rsidRDefault="001C5CB0" w:rsidP="002A04F3">
            <w:pPr>
              <w:spacing w:before="240"/>
              <w:rPr>
                <w:b/>
                <w:bCs/>
                <w:sz w:val="20"/>
                <w:szCs w:val="20"/>
                <w:highlight w:val="green"/>
              </w:rPr>
            </w:pPr>
            <w:r w:rsidRPr="000E116E">
              <w:rPr>
                <w:b/>
                <w:bCs/>
                <w:sz w:val="20"/>
                <w:szCs w:val="20"/>
                <w:highlight w:val="green"/>
              </w:rPr>
              <w:t>Agreement</w:t>
            </w:r>
          </w:p>
          <w:p w14:paraId="67C89789" w14:textId="77777777" w:rsidR="001C5CB0" w:rsidRPr="000E116E" w:rsidRDefault="001C5CB0" w:rsidP="00D8699A">
            <w:pPr>
              <w:spacing w:afterLines="50" w:after="120"/>
              <w:rPr>
                <w:b/>
                <w:bCs/>
                <w:sz w:val="20"/>
                <w:szCs w:val="20"/>
              </w:rPr>
            </w:pPr>
            <w:proofErr w:type="spellStart"/>
            <w:r w:rsidRPr="000E116E">
              <w:rPr>
                <w:b/>
                <w:bCs/>
                <w:sz w:val="20"/>
                <w:szCs w:val="20"/>
              </w:rPr>
              <w:t>For</w:t>
            </w:r>
            <w:proofErr w:type="spellEnd"/>
            <w:r w:rsidRPr="000E116E">
              <w:rPr>
                <w:b/>
                <w:bCs/>
                <w:sz w:val="20"/>
                <w:szCs w:val="20"/>
              </w:rPr>
              <w:t xml:space="preserve"> SBFD-aware UEs in RRC CONNECTED </w:t>
            </w:r>
            <w:proofErr w:type="spellStart"/>
            <w:r w:rsidRPr="000E116E">
              <w:rPr>
                <w:b/>
                <w:bCs/>
                <w:sz w:val="20"/>
                <w:szCs w:val="20"/>
              </w:rPr>
              <w:t>state</w:t>
            </w:r>
            <w:proofErr w:type="spellEnd"/>
            <w:r w:rsidRPr="000E116E">
              <w:rPr>
                <w:b/>
                <w:bCs/>
                <w:sz w:val="20"/>
                <w:szCs w:val="20"/>
              </w:rPr>
              <w:t>,</w:t>
            </w:r>
            <w:r w:rsidRPr="000E116E">
              <w:rPr>
                <w:rFonts w:hint="eastAsia"/>
                <w:b/>
                <w:bCs/>
                <w:sz w:val="20"/>
                <w:szCs w:val="20"/>
              </w:rPr>
              <w:t xml:space="preserve"> </w:t>
            </w:r>
            <w:r w:rsidRPr="000E116E">
              <w:rPr>
                <w:b/>
                <w:bCs/>
                <w:sz w:val="20"/>
                <w:szCs w:val="20"/>
              </w:rPr>
              <w:t xml:space="preserve">at least </w:t>
            </w:r>
            <w:proofErr w:type="spellStart"/>
            <w:r w:rsidRPr="000E116E">
              <w:rPr>
                <w:b/>
                <w:bCs/>
                <w:sz w:val="20"/>
                <w:szCs w:val="20"/>
              </w:rPr>
              <w:t>further</w:t>
            </w:r>
            <w:proofErr w:type="spellEnd"/>
            <w:r w:rsidRPr="000E116E">
              <w:rPr>
                <w:b/>
                <w:bCs/>
                <w:sz w:val="20"/>
                <w:szCs w:val="20"/>
              </w:rPr>
              <w:t xml:space="preserve"> </w:t>
            </w:r>
            <w:proofErr w:type="spellStart"/>
            <w:r w:rsidRPr="000E116E">
              <w:rPr>
                <w:b/>
                <w:bCs/>
                <w:sz w:val="20"/>
                <w:szCs w:val="20"/>
              </w:rPr>
              <w:t>study</w:t>
            </w:r>
            <w:proofErr w:type="spellEnd"/>
            <w:r w:rsidRPr="000E116E">
              <w:rPr>
                <w:b/>
                <w:bCs/>
                <w:sz w:val="20"/>
                <w:szCs w:val="20"/>
              </w:rPr>
              <w:t xml:space="preserve"> </w:t>
            </w:r>
            <w:proofErr w:type="spellStart"/>
            <w:r w:rsidRPr="000E116E">
              <w:rPr>
                <w:b/>
                <w:bCs/>
                <w:sz w:val="20"/>
                <w:szCs w:val="20"/>
              </w:rPr>
              <w:t>whether</w:t>
            </w:r>
            <w:proofErr w:type="spellEnd"/>
            <w:r w:rsidRPr="000E116E">
              <w:rPr>
                <w:b/>
                <w:bCs/>
                <w:sz w:val="20"/>
                <w:szCs w:val="20"/>
              </w:rPr>
              <w:t>/</w:t>
            </w:r>
            <w:proofErr w:type="spellStart"/>
            <w:r w:rsidRPr="000E116E">
              <w:rPr>
                <w:b/>
                <w:bCs/>
                <w:sz w:val="20"/>
                <w:szCs w:val="20"/>
              </w:rPr>
              <w:t>how</w:t>
            </w:r>
            <w:proofErr w:type="spellEnd"/>
            <w:r w:rsidRPr="000E116E">
              <w:rPr>
                <w:b/>
                <w:bCs/>
                <w:sz w:val="20"/>
                <w:szCs w:val="20"/>
              </w:rPr>
              <w:t xml:space="preserve"> </w:t>
            </w:r>
            <w:proofErr w:type="spellStart"/>
            <w:r w:rsidRPr="000E116E">
              <w:rPr>
                <w:b/>
                <w:bCs/>
                <w:sz w:val="20"/>
                <w:szCs w:val="20"/>
              </w:rPr>
              <w:t>to</w:t>
            </w:r>
            <w:proofErr w:type="spellEnd"/>
            <w:r w:rsidRPr="000E116E">
              <w:rPr>
                <w:b/>
                <w:bCs/>
                <w:sz w:val="20"/>
                <w:szCs w:val="20"/>
              </w:rPr>
              <w:t xml:space="preserve"> </w:t>
            </w:r>
            <w:proofErr w:type="spellStart"/>
            <w:r w:rsidRPr="000E116E">
              <w:rPr>
                <w:b/>
                <w:bCs/>
                <w:sz w:val="20"/>
                <w:szCs w:val="20"/>
              </w:rPr>
              <w:t>enable</w:t>
            </w:r>
            <w:proofErr w:type="spellEnd"/>
            <w:r w:rsidRPr="000E116E">
              <w:rPr>
                <w:b/>
                <w:bCs/>
                <w:sz w:val="20"/>
                <w:szCs w:val="20"/>
              </w:rPr>
              <w:t xml:space="preserve"> Msg2, Msg3 and Msg4 </w:t>
            </w:r>
            <w:proofErr w:type="spellStart"/>
            <w:r w:rsidRPr="000E116E">
              <w:rPr>
                <w:b/>
                <w:bCs/>
                <w:sz w:val="20"/>
                <w:szCs w:val="20"/>
              </w:rPr>
              <w:t>related</w:t>
            </w:r>
            <w:proofErr w:type="spellEnd"/>
            <w:r w:rsidRPr="000E116E">
              <w:rPr>
                <w:b/>
                <w:bCs/>
                <w:sz w:val="20"/>
                <w:szCs w:val="20"/>
              </w:rPr>
              <w:t xml:space="preserve"> </w:t>
            </w:r>
            <w:proofErr w:type="spellStart"/>
            <w:r w:rsidRPr="000E116E">
              <w:rPr>
                <w:b/>
                <w:bCs/>
                <w:sz w:val="20"/>
                <w:szCs w:val="20"/>
              </w:rPr>
              <w:t>transmission</w:t>
            </w:r>
            <w:proofErr w:type="spellEnd"/>
            <w:r w:rsidRPr="000E116E">
              <w:rPr>
                <w:b/>
                <w:bCs/>
                <w:sz w:val="20"/>
                <w:szCs w:val="20"/>
              </w:rPr>
              <w:t>/</w:t>
            </w:r>
            <w:proofErr w:type="spellStart"/>
            <w:r w:rsidRPr="000E116E">
              <w:rPr>
                <w:b/>
                <w:bCs/>
                <w:sz w:val="20"/>
                <w:szCs w:val="20"/>
              </w:rPr>
              <w:t>reception</w:t>
            </w:r>
            <w:proofErr w:type="spellEnd"/>
            <w:r w:rsidRPr="000E116E">
              <w:rPr>
                <w:b/>
                <w:bCs/>
                <w:sz w:val="20"/>
                <w:szCs w:val="20"/>
              </w:rPr>
              <w:t xml:space="preserve"> in SBFD </w:t>
            </w:r>
            <w:proofErr w:type="spellStart"/>
            <w:r w:rsidRPr="000E116E">
              <w:rPr>
                <w:b/>
                <w:bCs/>
                <w:sz w:val="20"/>
                <w:szCs w:val="20"/>
              </w:rPr>
              <w:t>symbols</w:t>
            </w:r>
            <w:proofErr w:type="spellEnd"/>
            <w:r w:rsidRPr="000E116E">
              <w:rPr>
                <w:b/>
                <w:bCs/>
                <w:sz w:val="20"/>
                <w:szCs w:val="20"/>
              </w:rPr>
              <w:t xml:space="preserve"> </w:t>
            </w:r>
            <w:proofErr w:type="spellStart"/>
            <w:r w:rsidRPr="000E116E">
              <w:rPr>
                <w:b/>
                <w:bCs/>
                <w:sz w:val="20"/>
                <w:szCs w:val="20"/>
              </w:rPr>
              <w:t>taking</w:t>
            </w:r>
            <w:proofErr w:type="spellEnd"/>
            <w:r w:rsidRPr="000E116E">
              <w:rPr>
                <w:b/>
                <w:bCs/>
                <w:sz w:val="20"/>
                <w:szCs w:val="20"/>
              </w:rPr>
              <w:t xml:space="preserve"> </w:t>
            </w:r>
            <w:proofErr w:type="spellStart"/>
            <w:r w:rsidRPr="000E116E">
              <w:rPr>
                <w:b/>
                <w:bCs/>
                <w:sz w:val="20"/>
                <w:szCs w:val="20"/>
              </w:rPr>
              <w:t>into</w:t>
            </w:r>
            <w:proofErr w:type="spellEnd"/>
            <w:r w:rsidRPr="000E116E">
              <w:rPr>
                <w:b/>
                <w:bCs/>
                <w:sz w:val="20"/>
                <w:szCs w:val="20"/>
              </w:rPr>
              <w:t xml:space="preserve"> </w:t>
            </w:r>
            <w:proofErr w:type="spellStart"/>
            <w:r w:rsidRPr="000E116E">
              <w:rPr>
                <w:b/>
                <w:bCs/>
                <w:sz w:val="20"/>
                <w:szCs w:val="20"/>
              </w:rPr>
              <w:t>account</w:t>
            </w:r>
            <w:proofErr w:type="spellEnd"/>
            <w:r w:rsidRPr="000E116E">
              <w:rPr>
                <w:b/>
                <w:bCs/>
                <w:sz w:val="20"/>
                <w:szCs w:val="20"/>
              </w:rPr>
              <w:t xml:space="preserve"> </w:t>
            </w:r>
            <w:proofErr w:type="spellStart"/>
            <w:r w:rsidRPr="000E116E">
              <w:rPr>
                <w:b/>
                <w:bCs/>
                <w:sz w:val="20"/>
                <w:szCs w:val="20"/>
              </w:rPr>
              <w:t>the</w:t>
            </w:r>
            <w:proofErr w:type="spellEnd"/>
            <w:r w:rsidRPr="000E116E">
              <w:rPr>
                <w:b/>
                <w:bCs/>
                <w:sz w:val="20"/>
                <w:szCs w:val="20"/>
              </w:rPr>
              <w:t xml:space="preserve"> </w:t>
            </w:r>
            <w:proofErr w:type="spellStart"/>
            <w:r w:rsidRPr="000E116E">
              <w:rPr>
                <w:b/>
                <w:bCs/>
                <w:sz w:val="20"/>
                <w:szCs w:val="20"/>
              </w:rPr>
              <w:t>following</w:t>
            </w:r>
            <w:proofErr w:type="spellEnd"/>
            <w:r w:rsidRPr="000E116E">
              <w:rPr>
                <w:b/>
                <w:bCs/>
                <w:sz w:val="20"/>
                <w:szCs w:val="20"/>
              </w:rPr>
              <w:t xml:space="preserve"> </w:t>
            </w:r>
            <w:proofErr w:type="spellStart"/>
            <w:r w:rsidRPr="000E116E">
              <w:rPr>
                <w:b/>
                <w:bCs/>
                <w:sz w:val="20"/>
                <w:szCs w:val="20"/>
              </w:rPr>
              <w:t>aspects</w:t>
            </w:r>
            <w:proofErr w:type="spellEnd"/>
            <w:r w:rsidRPr="000E116E">
              <w:rPr>
                <w:b/>
                <w:bCs/>
                <w:sz w:val="20"/>
                <w:szCs w:val="20"/>
              </w:rPr>
              <w:t>:</w:t>
            </w:r>
          </w:p>
          <w:p w14:paraId="156A4946" w14:textId="77777777" w:rsidR="001C5CB0" w:rsidRPr="000E116E" w:rsidRDefault="001C5CB0" w:rsidP="00D8699A">
            <w:pPr>
              <w:pStyle w:val="ListParagraph"/>
              <w:numPr>
                <w:ilvl w:val="0"/>
                <w:numId w:val="27"/>
              </w:numPr>
              <w:rPr>
                <w:sz w:val="20"/>
                <w:szCs w:val="20"/>
                <w:lang w:val="en-US"/>
              </w:rPr>
            </w:pPr>
            <w:r w:rsidRPr="000E116E">
              <w:rPr>
                <w:sz w:val="20"/>
                <w:szCs w:val="20"/>
                <w:lang w:val="en-US"/>
              </w:rPr>
              <w:t xml:space="preserve">Msg2[/Msg4 </w:t>
            </w:r>
            <w:r w:rsidRPr="000E116E">
              <w:rPr>
                <w:sz w:val="20"/>
                <w:szCs w:val="20"/>
              </w:rPr>
              <w:t>PDSCH]</w:t>
            </w:r>
            <w:r w:rsidRPr="000E116E">
              <w:rPr>
                <w:sz w:val="20"/>
                <w:szCs w:val="20"/>
                <w:lang w:val="en-US"/>
              </w:rPr>
              <w:t xml:space="preserve"> reception in DL subband(s)</w:t>
            </w:r>
          </w:p>
          <w:p w14:paraId="2989C87D" w14:textId="77777777" w:rsidR="001C5CB0" w:rsidRPr="000E116E" w:rsidRDefault="001C5CB0" w:rsidP="00D8699A">
            <w:pPr>
              <w:pStyle w:val="ListParagraph"/>
              <w:numPr>
                <w:ilvl w:val="0"/>
                <w:numId w:val="27"/>
              </w:numPr>
              <w:rPr>
                <w:sz w:val="20"/>
                <w:szCs w:val="20"/>
                <w:lang w:val="en-US"/>
              </w:rPr>
            </w:pPr>
            <w:r w:rsidRPr="000E116E">
              <w:rPr>
                <w:sz w:val="20"/>
                <w:szCs w:val="20"/>
                <w:lang w:val="en-US"/>
              </w:rPr>
              <w:t xml:space="preserve">Msg3 </w:t>
            </w:r>
            <w:proofErr w:type="gramStart"/>
            <w:r w:rsidRPr="000E116E">
              <w:rPr>
                <w:sz w:val="20"/>
                <w:szCs w:val="20"/>
                <w:lang w:val="en-US"/>
              </w:rPr>
              <w:t>PUSCH[</w:t>
            </w:r>
            <w:proofErr w:type="gramEnd"/>
            <w:r w:rsidRPr="000E116E">
              <w:rPr>
                <w:sz w:val="20"/>
                <w:szCs w:val="20"/>
                <w:lang w:val="en-US"/>
              </w:rPr>
              <w:t>/</w:t>
            </w:r>
            <w:r w:rsidRPr="000E116E">
              <w:rPr>
                <w:sz w:val="20"/>
                <w:szCs w:val="20"/>
              </w:rPr>
              <w:t>Msg4</w:t>
            </w:r>
            <w:r w:rsidRPr="000E116E">
              <w:rPr>
                <w:sz w:val="20"/>
                <w:szCs w:val="20"/>
                <w:lang w:val="en-US"/>
              </w:rPr>
              <w:t xml:space="preserve"> HARQ-ACK PUCCH] frequency resource allocation and frequency hopping</w:t>
            </w:r>
          </w:p>
          <w:p w14:paraId="25DD36E2" w14:textId="77777777" w:rsidR="001C5CB0" w:rsidRPr="000E116E" w:rsidRDefault="001C5CB0" w:rsidP="00D8699A">
            <w:pPr>
              <w:pStyle w:val="ListParagraph"/>
              <w:numPr>
                <w:ilvl w:val="0"/>
                <w:numId w:val="27"/>
              </w:numPr>
              <w:rPr>
                <w:sz w:val="20"/>
                <w:szCs w:val="20"/>
              </w:rPr>
            </w:pPr>
            <w:r w:rsidRPr="000E116E">
              <w:rPr>
                <w:rFonts w:hint="eastAsia"/>
                <w:sz w:val="20"/>
                <w:szCs w:val="20"/>
              </w:rPr>
              <w:t>M</w:t>
            </w:r>
            <w:r w:rsidRPr="000E116E">
              <w:rPr>
                <w:sz w:val="20"/>
                <w:szCs w:val="20"/>
              </w:rPr>
              <w:t>sg3 repetition</w:t>
            </w:r>
          </w:p>
          <w:p w14:paraId="328F3CEA" w14:textId="77777777" w:rsidR="001C5CB0" w:rsidRPr="000E116E" w:rsidRDefault="001C5CB0" w:rsidP="00D8699A">
            <w:pPr>
              <w:pStyle w:val="ListParagraph"/>
              <w:numPr>
                <w:ilvl w:val="0"/>
                <w:numId w:val="27"/>
              </w:numPr>
              <w:rPr>
                <w:sz w:val="20"/>
                <w:szCs w:val="20"/>
                <w:lang w:val="en-US"/>
              </w:rPr>
            </w:pPr>
            <w:r w:rsidRPr="000E116E">
              <w:rPr>
                <w:sz w:val="20"/>
                <w:szCs w:val="20"/>
                <w:lang w:val="en-US"/>
              </w:rPr>
              <w:t xml:space="preserve">Msg3 </w:t>
            </w:r>
            <w:proofErr w:type="gramStart"/>
            <w:r w:rsidRPr="000E116E">
              <w:rPr>
                <w:sz w:val="20"/>
                <w:szCs w:val="20"/>
                <w:lang w:val="en-US"/>
              </w:rPr>
              <w:t>PUSCH[</w:t>
            </w:r>
            <w:proofErr w:type="gramEnd"/>
            <w:r w:rsidRPr="000E116E">
              <w:rPr>
                <w:sz w:val="20"/>
                <w:szCs w:val="20"/>
                <w:lang w:val="en-US"/>
              </w:rPr>
              <w:t>/Msg4 HARQ-ACK PUCCH] power control</w:t>
            </w:r>
          </w:p>
          <w:p w14:paraId="3C20BB6B" w14:textId="77777777" w:rsidR="001C5CB0" w:rsidRPr="001B332B" w:rsidRDefault="001C5CB0" w:rsidP="00D8699A">
            <w:pPr>
              <w:pStyle w:val="ListParagraph"/>
              <w:numPr>
                <w:ilvl w:val="0"/>
                <w:numId w:val="27"/>
              </w:numPr>
              <w:spacing w:after="160"/>
              <w:rPr>
                <w:sz w:val="20"/>
                <w:szCs w:val="20"/>
                <w:lang w:val="en-US"/>
              </w:rPr>
            </w:pPr>
            <w:r w:rsidRPr="001B332B">
              <w:rPr>
                <w:rFonts w:hint="eastAsia"/>
                <w:sz w:val="20"/>
                <w:szCs w:val="20"/>
                <w:lang w:val="en-US"/>
              </w:rPr>
              <w:t>F</w:t>
            </w:r>
            <w:r w:rsidRPr="001B332B">
              <w:rPr>
                <w:sz w:val="20"/>
                <w:szCs w:val="20"/>
                <w:lang w:val="en-US"/>
              </w:rPr>
              <w:t>FS wh</w:t>
            </w:r>
            <w:r w:rsidRPr="001B332B">
              <w:rPr>
                <w:rFonts w:hint="eastAsia"/>
                <w:sz w:val="20"/>
                <w:szCs w:val="20"/>
                <w:lang w:val="en-US"/>
              </w:rPr>
              <w:t>e</w:t>
            </w:r>
            <w:r w:rsidRPr="001B332B">
              <w:rPr>
                <w:sz w:val="20"/>
                <w:szCs w:val="20"/>
                <w:lang w:val="en-US"/>
              </w:rPr>
              <w:t xml:space="preserve">ther/how gNB to identify whether a UE is SBFD aware UE or non-SBFD aware </w:t>
            </w:r>
            <w:proofErr w:type="gramStart"/>
            <w:r w:rsidRPr="001B332B">
              <w:rPr>
                <w:sz w:val="20"/>
                <w:szCs w:val="20"/>
                <w:lang w:val="en-US"/>
              </w:rPr>
              <w:t>UE</w:t>
            </w:r>
            <w:proofErr w:type="gramEnd"/>
          </w:p>
          <w:p w14:paraId="4EC2CC9D" w14:textId="77777777" w:rsidR="001C5CB0" w:rsidRDefault="001C5CB0" w:rsidP="00D8699A">
            <w:pPr>
              <w:pStyle w:val="BodyText"/>
            </w:pPr>
            <w:r w:rsidRPr="000E116E">
              <w:rPr>
                <w:b/>
                <w:bCs/>
                <w:sz w:val="20"/>
                <w:szCs w:val="20"/>
              </w:rPr>
              <w:t xml:space="preserve">Note: </w:t>
            </w:r>
            <w:proofErr w:type="spellStart"/>
            <w:r w:rsidRPr="000E116E">
              <w:rPr>
                <w:b/>
                <w:bCs/>
                <w:sz w:val="20"/>
                <w:szCs w:val="20"/>
              </w:rPr>
              <w:t>Strive</w:t>
            </w:r>
            <w:proofErr w:type="spellEnd"/>
            <w:r w:rsidRPr="000E116E">
              <w:rPr>
                <w:b/>
                <w:bCs/>
                <w:sz w:val="20"/>
                <w:szCs w:val="20"/>
              </w:rPr>
              <w:t xml:space="preserve"> </w:t>
            </w:r>
            <w:proofErr w:type="spellStart"/>
            <w:r w:rsidRPr="000E116E">
              <w:rPr>
                <w:b/>
                <w:bCs/>
                <w:sz w:val="20"/>
                <w:szCs w:val="20"/>
              </w:rPr>
              <w:t>to</w:t>
            </w:r>
            <w:proofErr w:type="spellEnd"/>
            <w:r w:rsidRPr="000E116E">
              <w:rPr>
                <w:b/>
                <w:bCs/>
                <w:sz w:val="20"/>
                <w:szCs w:val="20"/>
              </w:rPr>
              <w:t xml:space="preserve"> </w:t>
            </w:r>
            <w:proofErr w:type="spellStart"/>
            <w:r w:rsidRPr="000E116E">
              <w:rPr>
                <w:b/>
                <w:bCs/>
                <w:sz w:val="20"/>
                <w:szCs w:val="20"/>
              </w:rPr>
              <w:t>make</w:t>
            </w:r>
            <w:proofErr w:type="spellEnd"/>
            <w:r w:rsidRPr="000E116E">
              <w:rPr>
                <w:b/>
                <w:bCs/>
                <w:sz w:val="20"/>
                <w:szCs w:val="20"/>
              </w:rPr>
              <w:t xml:space="preserve"> </w:t>
            </w:r>
            <w:proofErr w:type="spellStart"/>
            <w:r w:rsidRPr="000E116E">
              <w:rPr>
                <w:b/>
                <w:bCs/>
                <w:sz w:val="20"/>
                <w:szCs w:val="20"/>
              </w:rPr>
              <w:t>progress</w:t>
            </w:r>
            <w:proofErr w:type="spellEnd"/>
            <w:r w:rsidRPr="000E116E">
              <w:rPr>
                <w:b/>
                <w:bCs/>
                <w:sz w:val="20"/>
                <w:szCs w:val="20"/>
              </w:rPr>
              <w:t xml:space="preserve"> in </w:t>
            </w:r>
            <w:proofErr w:type="spellStart"/>
            <w:r w:rsidRPr="000E116E">
              <w:rPr>
                <w:b/>
                <w:bCs/>
                <w:sz w:val="20"/>
                <w:szCs w:val="20"/>
              </w:rPr>
              <w:t>accordance</w:t>
            </w:r>
            <w:proofErr w:type="spellEnd"/>
            <w:r w:rsidRPr="000E116E">
              <w:rPr>
                <w:b/>
                <w:bCs/>
                <w:sz w:val="20"/>
                <w:szCs w:val="20"/>
              </w:rPr>
              <w:t xml:space="preserve"> </w:t>
            </w:r>
            <w:proofErr w:type="spellStart"/>
            <w:r w:rsidRPr="000E116E">
              <w:rPr>
                <w:b/>
                <w:bCs/>
                <w:sz w:val="20"/>
                <w:szCs w:val="20"/>
              </w:rPr>
              <w:t>to</w:t>
            </w:r>
            <w:proofErr w:type="spellEnd"/>
            <w:r w:rsidRPr="000E116E">
              <w:rPr>
                <w:b/>
                <w:bCs/>
                <w:sz w:val="20"/>
                <w:szCs w:val="20"/>
              </w:rPr>
              <w:t xml:space="preserve"> </w:t>
            </w:r>
            <w:proofErr w:type="spellStart"/>
            <w:r w:rsidRPr="000E116E">
              <w:rPr>
                <w:b/>
                <w:bCs/>
                <w:sz w:val="20"/>
                <w:szCs w:val="20"/>
              </w:rPr>
              <w:t>the</w:t>
            </w:r>
            <w:proofErr w:type="spellEnd"/>
            <w:r w:rsidRPr="000E116E">
              <w:rPr>
                <w:b/>
                <w:bCs/>
                <w:sz w:val="20"/>
                <w:szCs w:val="20"/>
              </w:rPr>
              <w:t xml:space="preserve"> </w:t>
            </w:r>
            <w:proofErr w:type="spellStart"/>
            <w:r w:rsidRPr="000E116E">
              <w:rPr>
                <w:b/>
                <w:bCs/>
                <w:sz w:val="20"/>
                <w:szCs w:val="20"/>
              </w:rPr>
              <w:t>discussion</w:t>
            </w:r>
            <w:proofErr w:type="spellEnd"/>
            <w:r w:rsidRPr="000E116E">
              <w:rPr>
                <w:b/>
                <w:bCs/>
                <w:sz w:val="20"/>
                <w:szCs w:val="20"/>
              </w:rPr>
              <w:t xml:space="preserve"> in AI 9.3.1.</w:t>
            </w:r>
          </w:p>
        </w:tc>
      </w:tr>
    </w:tbl>
    <w:p w14:paraId="3BB47235" w14:textId="77777777" w:rsidR="001C5CB0" w:rsidRDefault="001C5CB0" w:rsidP="001C5CB0">
      <w:pPr>
        <w:pStyle w:val="BodyText"/>
        <w:spacing w:before="240"/>
      </w:pPr>
      <w:r>
        <w:t>In our view, it is not evident that there is a need for any specification work for Msg2, 3, 4 in DL/UL subbands. Neither coverage nor range will be helped by it, latency and capacity will only marginally be improved. Hence, any additional work should be justified before RAN1 starts to blindly specify its functionality.</w:t>
      </w:r>
    </w:p>
    <w:p w14:paraId="148E365F" w14:textId="77777777" w:rsidR="001C5CB0" w:rsidRDefault="001C5CB0" w:rsidP="001C5CB0">
      <w:pPr>
        <w:pStyle w:val="Proposal"/>
      </w:pPr>
      <w:bookmarkStart w:id="36" w:name="_Toc163239667"/>
      <w:bookmarkStart w:id="37" w:name="_Toc166256787"/>
      <w:r>
        <w:t>RAN1 to discuss the justification of DL/UL subband support for Msg2, 3, 4.</w:t>
      </w:r>
      <w:bookmarkEnd w:id="36"/>
      <w:bookmarkEnd w:id="37"/>
    </w:p>
    <w:p w14:paraId="2EC88932" w14:textId="77777777" w:rsidR="001C5CB0" w:rsidRDefault="001C5CB0" w:rsidP="001C5CB0">
      <w:pPr>
        <w:pStyle w:val="BodyText"/>
      </w:pPr>
      <w:r>
        <w:t xml:space="preserve">With the assumption that RAN1 still will undertake some work with Msg2, 3, 4, in our understanding, Msg2 and Msg4 are both scheduled with DCI, the specification of which is handled in AI 9.3.1. Potentially, if Type 1 scheduling is used, there may be a need for further enhancements pending on the outcome from the specification work in AI 9.3.1. However, from a RACH perspective, it is inefficient and irresponsible to do any such enhancements prior to the general enhancements have been agreed in AI 9.3.1. Hence, at this point, we do not see a need for further specification work apart from what is undertaken in AI 9.3.1. </w:t>
      </w:r>
    </w:p>
    <w:p w14:paraId="5E43FCDB" w14:textId="77777777" w:rsidR="001C5CB0" w:rsidRDefault="001C5CB0" w:rsidP="001C5CB0">
      <w:pPr>
        <w:pStyle w:val="BodyText"/>
      </w:pPr>
      <w:r>
        <w:t xml:space="preserve">Msg3 and Msg4 HARQ-ACK PUCCH are both not scheduled with DCI, instead the UL grant resides within the PDSCH. </w:t>
      </w:r>
      <w:proofErr w:type="gramStart"/>
      <w:r>
        <w:t>Similar to</w:t>
      </w:r>
      <w:proofErr w:type="gramEnd"/>
      <w:r>
        <w:t xml:space="preserve"> the above, it is difficult to discuss RACH-specific enhancements ahead of the general specification work ongoing in AI 9.3.1.</w:t>
      </w:r>
    </w:p>
    <w:p w14:paraId="71485883" w14:textId="77777777" w:rsidR="001C5CB0" w:rsidRPr="000E116E" w:rsidRDefault="001C5CB0" w:rsidP="001C5CB0">
      <w:pPr>
        <w:pStyle w:val="BodyText"/>
        <w:rPr>
          <w:b/>
          <w:bCs/>
        </w:rPr>
      </w:pPr>
      <w:r w:rsidRPr="000E116E">
        <w:t>Regarding Msg3</w:t>
      </w:r>
      <w:r>
        <w:t xml:space="preserve"> PUSCH repetitions</w:t>
      </w:r>
      <w:r w:rsidRPr="000E116E">
        <w:t xml:space="preserve">, it is our understanding that this will also be discussed in </w:t>
      </w:r>
      <w:r>
        <w:t>AI</w:t>
      </w:r>
      <w:r w:rsidRPr="000E116E">
        <w:t xml:space="preserve"> 9.3.1, for which reason, at this </w:t>
      </w:r>
      <w:r w:rsidRPr="000E116E">
        <w:rPr>
          <w:lang w:eastAsia="en-US"/>
        </w:rPr>
        <w:t>point</w:t>
      </w:r>
      <w:r w:rsidRPr="000E116E">
        <w:t xml:space="preserve"> there </w:t>
      </w:r>
      <w:r>
        <w:t>is</w:t>
      </w:r>
      <w:r w:rsidRPr="000E116E">
        <w:t xml:space="preserve"> no need for further RACH specific discissions.</w:t>
      </w:r>
    </w:p>
    <w:p w14:paraId="648E761B" w14:textId="542E3BDC" w:rsidR="001C5CB0" w:rsidRPr="001C5CB0" w:rsidRDefault="001C5CB0" w:rsidP="00FA5CC1">
      <w:pPr>
        <w:pStyle w:val="Proposal"/>
        <w:rPr>
          <w:b w:val="0"/>
        </w:rPr>
      </w:pPr>
      <w:bookmarkStart w:id="38" w:name="_Toc163239668"/>
      <w:bookmarkStart w:id="39" w:name="_Toc166256788"/>
      <w:r>
        <w:t>For RACH-specific enhancements of Msg2, 3, 4, await further progress in AI 9.3.1.</w:t>
      </w:r>
      <w:bookmarkStart w:id="40" w:name="_Toc163219957"/>
      <w:bookmarkStart w:id="41" w:name="_Toc163219958"/>
      <w:bookmarkStart w:id="42" w:name="_Toc163219959"/>
      <w:bookmarkStart w:id="43" w:name="_Toc163219960"/>
      <w:bookmarkStart w:id="44" w:name="_Toc163219961"/>
      <w:bookmarkStart w:id="45" w:name="_Toc163219962"/>
      <w:bookmarkStart w:id="46" w:name="_Toc163219963"/>
      <w:bookmarkStart w:id="47" w:name="_Toc163219964"/>
      <w:bookmarkStart w:id="48" w:name="_Toc163219965"/>
      <w:bookmarkEnd w:id="38"/>
      <w:bookmarkEnd w:id="40"/>
      <w:bookmarkEnd w:id="41"/>
      <w:bookmarkEnd w:id="42"/>
      <w:bookmarkEnd w:id="43"/>
      <w:bookmarkEnd w:id="44"/>
      <w:bookmarkEnd w:id="45"/>
      <w:bookmarkEnd w:id="46"/>
      <w:bookmarkEnd w:id="47"/>
      <w:bookmarkEnd w:id="48"/>
      <w:bookmarkEnd w:id="39"/>
    </w:p>
    <w:p w14:paraId="1CECC27C" w14:textId="35B00BB5" w:rsidR="001C5CB0" w:rsidRDefault="001459D3" w:rsidP="001C5CB0">
      <w:pPr>
        <w:pStyle w:val="Heading2"/>
      </w:pPr>
      <w:bookmarkStart w:id="49" w:name="_Ref165895843"/>
      <w:r>
        <w:t xml:space="preserve">RACH operation in </w:t>
      </w:r>
      <w:r w:rsidR="001E79AE">
        <w:t>RRC_IDLE/INACTIVE</w:t>
      </w:r>
      <w:bookmarkEnd w:id="49"/>
    </w:p>
    <w:p w14:paraId="10D05E4A" w14:textId="350DA36A" w:rsidR="001C5CB0" w:rsidRDefault="001C5CB0" w:rsidP="001C5CB0">
      <w:pPr>
        <w:pStyle w:val="Heading3"/>
      </w:pPr>
      <w:r>
        <w:t>RO locations to support RRC_IDLE</w:t>
      </w:r>
    </w:p>
    <w:p w14:paraId="4459E778" w14:textId="5A4FF32C" w:rsidR="00365125" w:rsidRPr="00365125" w:rsidRDefault="00365125" w:rsidP="00365125">
      <w:r>
        <w:t xml:space="preserve">Random access in RRC_IDLE is a key function since without it, there is no way for a UE to connect to the network. Within the RA procedure, PRACH is a the single most important </w:t>
      </w:r>
      <w:r w:rsidR="00200FC3">
        <w:t>step since this is when the network becomes aware of the UE trying to make contact. Subsequent messaging is less critical since the specification includes functionality for mitigation of dropped packages. PRACH performance is also a key parameter in cell planning since it defines cell coverage in RRC_IDLE. Hence, without a consistent and predictable PRACH, it may not be possible for UEs to connect to the network or for operators to do proper cell planning</w:t>
      </w:r>
      <w:r>
        <w:t>.</w:t>
      </w:r>
    </w:p>
    <w:p w14:paraId="22C6478C" w14:textId="505159C3" w:rsidR="00BF6642" w:rsidRDefault="00BF6642" w:rsidP="00887256">
      <w:pPr>
        <w:pStyle w:val="Observation"/>
      </w:pPr>
      <w:bookmarkStart w:id="50" w:name="_Toc166256769"/>
      <w:r>
        <w:lastRenderedPageBreak/>
        <w:t>For a UE in RRC_IDLE there is no alternative to PRACH to connect to the network. Consistent and predictable PRACH performance is hence fundamental to network operation and planning.</w:t>
      </w:r>
      <w:bookmarkEnd w:id="50"/>
    </w:p>
    <w:p w14:paraId="6D219FF1" w14:textId="16A19DAC" w:rsidR="00381002" w:rsidRPr="000C514E" w:rsidRDefault="0025553C" w:rsidP="00381002">
      <w:pPr>
        <w:rPr>
          <w:lang w:val="en-US"/>
        </w:rPr>
      </w:pPr>
      <w:proofErr w:type="gramStart"/>
      <w:r>
        <w:t>In order to</w:t>
      </w:r>
      <w:proofErr w:type="gramEnd"/>
      <w:r>
        <w:t xml:space="preserve"> support RRC_IDLE, it is important that the network can configure ROs that will provide</w:t>
      </w:r>
      <w:r w:rsidR="00B37267">
        <w:t>, not only a robust detection performance but also a</w:t>
      </w:r>
      <w:r>
        <w:t xml:space="preserve"> consistent and predictable detection performance in the gNB.</w:t>
      </w:r>
      <w:r w:rsidR="00B37267">
        <w:t xml:space="preserve"> In our previous contribution, we demonstrated the difference in detection performance for </w:t>
      </w:r>
      <w:r w:rsidR="004D7CF4">
        <w:t xml:space="preserve">format B4 </w:t>
      </w:r>
      <w:r w:rsidR="00B37267">
        <w:t xml:space="preserve">ROs spanning only UL symbols, ROs spanning both SBFD and UL symbols and ROs spanning only SBFD symbols, for low loads. The leftmost part of </w:t>
      </w:r>
      <w:r w:rsidR="00B37267">
        <w:fldChar w:fldCharType="begin"/>
      </w:r>
      <w:r w:rsidR="00B37267">
        <w:instrText xml:space="preserve"> REF _Ref165979204 \h </w:instrText>
      </w:r>
      <w:r w:rsidR="00B37267">
        <w:fldChar w:fldCharType="separate"/>
      </w:r>
      <w:r w:rsidR="00560801">
        <w:t xml:space="preserve">Figure </w:t>
      </w:r>
      <w:r w:rsidR="00560801">
        <w:rPr>
          <w:noProof/>
        </w:rPr>
        <w:t>2</w:t>
      </w:r>
      <w:r w:rsidR="00B37267">
        <w:fldChar w:fldCharType="end"/>
      </w:r>
      <w:r w:rsidR="00B37267">
        <w:t xml:space="preserve"> repeats these results</w:t>
      </w:r>
      <w:r w:rsidR="00ED1311">
        <w:t xml:space="preserve"> </w:t>
      </w:r>
      <w:r w:rsidR="004D7CF4">
        <w:t>for format 0</w:t>
      </w:r>
      <w:r w:rsidR="00ED1311">
        <w:t xml:space="preserve"> whereas the rightmost figure presents the corresponding </w:t>
      </w:r>
      <w:r w:rsidR="004D7CF4">
        <w:t xml:space="preserve">format 0 </w:t>
      </w:r>
      <w:r w:rsidR="00ED1311">
        <w:t>results for high loads</w:t>
      </w:r>
      <w:r w:rsidR="00B37267">
        <w:t>.</w:t>
      </w:r>
      <w:r w:rsidR="00ED1311">
        <w:t xml:space="preserve"> As is evident from the figure and valid for both load levels,</w:t>
      </w:r>
      <w:r w:rsidR="00E702D0">
        <w:t xml:space="preserve"> in relation to the gold standard of using R</w:t>
      </w:r>
      <w:r w:rsidR="001C26D1">
        <w:t>O</w:t>
      </w:r>
      <w:r w:rsidR="00E702D0">
        <w:t>s in only UL slots (blue line), R</w:t>
      </w:r>
      <w:r w:rsidR="001C26D1">
        <w:t>O</w:t>
      </w:r>
      <w:r w:rsidR="00E702D0">
        <w:t xml:space="preserve">s </w:t>
      </w:r>
      <w:r w:rsidR="00ED1311">
        <w:t xml:space="preserve">combining SBFD symbols with UL symbols will result in a </w:t>
      </w:r>
      <w:r w:rsidR="00E702D0">
        <w:t xml:space="preserve">vastly better </w:t>
      </w:r>
      <w:r w:rsidR="00ED1311">
        <w:t xml:space="preserve">detection performance using a non-coherent MRC-like detector </w:t>
      </w:r>
      <w:r w:rsidR="00E702D0">
        <w:t xml:space="preserve"> (red dashed line) compared to </w:t>
      </w:r>
      <w:r w:rsidR="000C514E">
        <w:t>equal gain combining</w:t>
      </w:r>
      <w:r w:rsidR="00E702D0">
        <w:t xml:space="preserve"> in R</w:t>
      </w:r>
      <w:r w:rsidR="001C26D1">
        <w:t>O</w:t>
      </w:r>
      <w:r w:rsidR="00E702D0">
        <w:t>s comprised of SBFD symbols either in combination with UL symbols or not (solid red line and green line, respectively).</w:t>
      </w:r>
    </w:p>
    <w:p w14:paraId="03DFC4A9" w14:textId="74CF6CAC" w:rsidR="00E02B15" w:rsidRDefault="00E02B15" w:rsidP="00887256">
      <w:pPr>
        <w:pStyle w:val="Observation"/>
      </w:pPr>
      <w:bookmarkStart w:id="51" w:name="_Toc166256770"/>
      <w:r>
        <w:t xml:space="preserve">Detection sensitivity is substantially </w:t>
      </w:r>
      <w:r w:rsidR="0038458D">
        <w:t>higher</w:t>
      </w:r>
      <w:r>
        <w:t xml:space="preserve"> for R</w:t>
      </w:r>
      <w:r w:rsidR="001C26D1">
        <w:t>O</w:t>
      </w:r>
      <w:r>
        <w:t>s comp</w:t>
      </w:r>
      <w:r w:rsidR="00D20F0B">
        <w:t>osed of</w:t>
      </w:r>
      <w:r>
        <w:t xml:space="preserve"> SBFD and UL symbols using MRC-like non-coherent combining, compared to R</w:t>
      </w:r>
      <w:r w:rsidR="001C26D1">
        <w:t>O</w:t>
      </w:r>
      <w:r>
        <w:t>s com</w:t>
      </w:r>
      <w:r w:rsidR="00D20F0B">
        <w:t>posed of</w:t>
      </w:r>
      <w:r>
        <w:t xml:space="preserve"> only SBFD symbols.</w:t>
      </w:r>
      <w:bookmarkEnd w:id="51"/>
    </w:p>
    <w:p w14:paraId="6003FDF1" w14:textId="5D7DEFA0" w:rsidR="000A0C44" w:rsidRDefault="00AA12E5" w:rsidP="000A0C44">
      <w:pPr>
        <w:keepNext/>
      </w:pPr>
      <w:r w:rsidRPr="00AA12E5">
        <w:rPr>
          <w:noProof/>
        </w:rPr>
        <w:drawing>
          <wp:inline distT="0" distB="0" distL="0" distR="0" wp14:anchorId="7223AA66" wp14:editId="228239D1">
            <wp:extent cx="2926195" cy="2194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1296" cy="2205885"/>
                    </a:xfrm>
                    <a:prstGeom prst="rect">
                      <a:avLst/>
                    </a:prstGeom>
                    <a:noFill/>
                    <a:ln>
                      <a:noFill/>
                    </a:ln>
                  </pic:spPr>
                </pic:pic>
              </a:graphicData>
            </a:graphic>
          </wp:inline>
        </w:drawing>
      </w:r>
      <w:r w:rsidR="000634A2" w:rsidRPr="000634A2">
        <w:t xml:space="preserve">  </w:t>
      </w:r>
      <w:r w:rsidR="00381002" w:rsidRPr="00381002">
        <w:rPr>
          <w:noProof/>
        </w:rPr>
        <w:t xml:space="preserve"> </w:t>
      </w:r>
      <w:r w:rsidRPr="00AA12E5">
        <w:rPr>
          <w:noProof/>
        </w:rPr>
        <w:drawing>
          <wp:inline distT="0" distB="0" distL="0" distR="0" wp14:anchorId="69EC1BE1" wp14:editId="0CEC950F">
            <wp:extent cx="2904135" cy="217801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5709" cy="2186694"/>
                    </a:xfrm>
                    <a:prstGeom prst="rect">
                      <a:avLst/>
                    </a:prstGeom>
                    <a:noFill/>
                    <a:ln>
                      <a:noFill/>
                    </a:ln>
                  </pic:spPr>
                </pic:pic>
              </a:graphicData>
            </a:graphic>
          </wp:inline>
        </w:drawing>
      </w:r>
    </w:p>
    <w:p w14:paraId="66607D28" w14:textId="7E6F4520" w:rsidR="00381002" w:rsidRDefault="000A0C44" w:rsidP="000A0C44">
      <w:pPr>
        <w:pStyle w:val="Caption"/>
      </w:pPr>
      <w:bookmarkStart w:id="52" w:name="_Ref165979204"/>
      <w:r>
        <w:t xml:space="preserve">Figure </w:t>
      </w:r>
      <w:r w:rsidR="0029302E">
        <w:fldChar w:fldCharType="begin"/>
      </w:r>
      <w:r w:rsidR="0029302E">
        <w:instrText xml:space="preserve"> SEQ Figure \* ARABIC </w:instrText>
      </w:r>
      <w:r w:rsidR="0029302E">
        <w:fldChar w:fldCharType="separate"/>
      </w:r>
      <w:r w:rsidR="00560801">
        <w:rPr>
          <w:noProof/>
        </w:rPr>
        <w:t>2</w:t>
      </w:r>
      <w:r w:rsidR="0029302E">
        <w:rPr>
          <w:noProof/>
        </w:rPr>
        <w:fldChar w:fldCharType="end"/>
      </w:r>
      <w:bookmarkEnd w:id="52"/>
      <w:r>
        <w:t xml:space="preserve">: </w:t>
      </w:r>
      <w:r w:rsidRPr="006C3F24">
        <w:t xml:space="preserve">Performance results for </w:t>
      </w:r>
      <w:r w:rsidR="004D7CF4">
        <w:t xml:space="preserve">PRACH format 0 </w:t>
      </w:r>
      <w:r w:rsidRPr="006C3F24">
        <w:t xml:space="preserve">for (left) low network loads, and (right) high network loads. </w:t>
      </w:r>
      <w:r w:rsidR="00370A17">
        <w:t>For a missed detection rate of 10</w:t>
      </w:r>
      <w:r w:rsidR="00370A17" w:rsidRPr="00370A17">
        <w:rPr>
          <w:vertAlign w:val="superscript"/>
        </w:rPr>
        <w:t>-2</w:t>
      </w:r>
      <w:r w:rsidR="007F30E1">
        <w:t>, false alarm rate of 10</w:t>
      </w:r>
      <w:r w:rsidR="007F30E1" w:rsidRPr="007F30E1">
        <w:rPr>
          <w:vertAlign w:val="superscript"/>
        </w:rPr>
        <w:t>-3</w:t>
      </w:r>
      <w:r w:rsidR="007F30E1">
        <w:t xml:space="preserve"> </w:t>
      </w:r>
      <w:r w:rsidR="00370A17">
        <w:t>and a low load</w:t>
      </w:r>
      <w:r w:rsidR="004C63CE">
        <w:t>,</w:t>
      </w:r>
      <w:r w:rsidR="00370A17">
        <w:t xml:space="preserve"> the difference in detection performance between the mixed SBFD and UL symbols using non-coherent combining (red dashed line) and MRC-like combining and SBFD symbols using equal gain combining (green solid line) is </w:t>
      </w:r>
      <w:r w:rsidR="00C66993">
        <w:t>1</w:t>
      </w:r>
      <w:r w:rsidR="007F30E1">
        <w:t>5</w:t>
      </w:r>
      <w:r w:rsidR="00C66993">
        <w:t> dB. The corresponding figure for high load is approximately 2</w:t>
      </w:r>
      <w:r w:rsidR="007F30E1">
        <w:t>4</w:t>
      </w:r>
      <w:r w:rsidR="00C66993">
        <w:t> dB.</w:t>
      </w:r>
    </w:p>
    <w:p w14:paraId="5D24F7CA" w14:textId="1677293A" w:rsidR="00E02B15" w:rsidRDefault="00E02B15" w:rsidP="00721DA5">
      <w:pPr>
        <w:rPr>
          <w:lang w:eastAsia="en-GB"/>
        </w:rPr>
      </w:pPr>
      <w:r>
        <w:rPr>
          <w:lang w:eastAsia="en-GB"/>
        </w:rPr>
        <w:t xml:space="preserve">Now, instead considering the consistency and predictability of the different RO alternatives in </w:t>
      </w:r>
      <w:r>
        <w:rPr>
          <w:lang w:eastAsia="en-GB"/>
        </w:rPr>
        <w:fldChar w:fldCharType="begin"/>
      </w:r>
      <w:r>
        <w:rPr>
          <w:lang w:eastAsia="en-GB"/>
        </w:rPr>
        <w:instrText xml:space="preserve"> REF _Ref165979204 \h </w:instrText>
      </w:r>
      <w:r>
        <w:rPr>
          <w:lang w:eastAsia="en-GB"/>
        </w:rPr>
      </w:r>
      <w:r>
        <w:rPr>
          <w:lang w:eastAsia="en-GB"/>
        </w:rPr>
        <w:fldChar w:fldCharType="separate"/>
      </w:r>
      <w:r w:rsidR="00560801">
        <w:t xml:space="preserve">Figure </w:t>
      </w:r>
      <w:r w:rsidR="00560801">
        <w:rPr>
          <w:noProof/>
        </w:rPr>
        <w:t>2</w:t>
      </w:r>
      <w:r>
        <w:rPr>
          <w:lang w:eastAsia="en-GB"/>
        </w:rPr>
        <w:fldChar w:fldCharType="end"/>
      </w:r>
      <w:r>
        <w:rPr>
          <w:lang w:eastAsia="en-GB"/>
        </w:rPr>
        <w:t xml:space="preserve">, i.e., the performance difference between low and high loads, gives another indication on how useful the respective ROs can be for a cell-defining signal like PRACH. In </w:t>
      </w:r>
      <w:r>
        <w:rPr>
          <w:lang w:eastAsia="en-GB"/>
        </w:rPr>
        <w:fldChar w:fldCharType="begin"/>
      </w:r>
      <w:r>
        <w:rPr>
          <w:lang w:eastAsia="en-GB"/>
        </w:rPr>
        <w:instrText xml:space="preserve"> REF _Ref165982395 \h </w:instrText>
      </w:r>
      <w:r>
        <w:rPr>
          <w:lang w:eastAsia="en-GB"/>
        </w:rPr>
      </w:r>
      <w:r>
        <w:rPr>
          <w:lang w:eastAsia="en-GB"/>
        </w:rPr>
        <w:fldChar w:fldCharType="separate"/>
      </w:r>
      <w:r w:rsidR="00560801">
        <w:t xml:space="preserve">Table </w:t>
      </w:r>
      <w:r w:rsidR="00560801">
        <w:rPr>
          <w:noProof/>
        </w:rPr>
        <w:t>1</w:t>
      </w:r>
      <w:r>
        <w:rPr>
          <w:lang w:eastAsia="en-GB"/>
        </w:rPr>
        <w:fldChar w:fldCharType="end"/>
      </w:r>
      <w:r>
        <w:rPr>
          <w:lang w:eastAsia="en-GB"/>
        </w:rPr>
        <w:t xml:space="preserve"> we show the </w:t>
      </w:r>
      <w:r w:rsidR="007F30E1">
        <w:rPr>
          <w:lang w:eastAsia="en-GB"/>
        </w:rPr>
        <w:t>SNR values for a missed detection rate of 10</w:t>
      </w:r>
      <w:r w:rsidR="007F30E1" w:rsidRPr="007F30E1">
        <w:rPr>
          <w:vertAlign w:val="superscript"/>
          <w:lang w:eastAsia="en-GB"/>
        </w:rPr>
        <w:t>-2</w:t>
      </w:r>
      <w:r w:rsidR="007F30E1">
        <w:rPr>
          <w:lang w:eastAsia="en-GB"/>
        </w:rPr>
        <w:t>, for low and high loads respectively, and the difference between the two. Here too, the ROs composed of SBFD and UL symbols show a very consistent and predictable performance, only weakly related to load (2 dB difference) whereas ROs composed of only SBFD symbols show a much stronger relation between load and detection performance (11 dB difference).</w:t>
      </w:r>
    </w:p>
    <w:p w14:paraId="01B85CC1" w14:textId="0DDB15B6" w:rsidR="00D20F0B" w:rsidRPr="00E02B15" w:rsidRDefault="00D20F0B" w:rsidP="00887256">
      <w:pPr>
        <w:pStyle w:val="Observation"/>
        <w:rPr>
          <w:lang w:eastAsia="en-GB"/>
        </w:rPr>
      </w:pPr>
      <w:bookmarkStart w:id="53" w:name="_Toc166256771"/>
      <w:r>
        <w:rPr>
          <w:lang w:eastAsia="en-GB"/>
        </w:rPr>
        <w:t xml:space="preserve">Detection performance, and thereby cell coverage, in ROs composed of SBFD and UL symbols using MRC-like non-coherent combining has a much weaker </w:t>
      </w:r>
      <w:r w:rsidR="00FA114B">
        <w:rPr>
          <w:lang w:eastAsia="en-GB"/>
        </w:rPr>
        <w:t>dependency on</w:t>
      </w:r>
      <w:r>
        <w:rPr>
          <w:lang w:eastAsia="en-GB"/>
        </w:rPr>
        <w:t xml:space="preserve"> network load compared to ROs composed of only SBFD symbols.</w:t>
      </w:r>
      <w:bookmarkEnd w:id="53"/>
    </w:p>
    <w:p w14:paraId="6E24FE09" w14:textId="79B259DD" w:rsidR="00370A17" w:rsidRDefault="00370A17" w:rsidP="00370A17">
      <w:pPr>
        <w:pStyle w:val="Caption"/>
        <w:keepNext/>
      </w:pPr>
      <w:bookmarkStart w:id="54" w:name="_Ref165982395"/>
      <w:r>
        <w:t xml:space="preserve">Table </w:t>
      </w:r>
      <w:r w:rsidR="0029302E">
        <w:fldChar w:fldCharType="begin"/>
      </w:r>
      <w:r w:rsidR="0029302E">
        <w:instrText xml:space="preserve"> SEQ Table \* ARABIC </w:instrText>
      </w:r>
      <w:r w:rsidR="0029302E">
        <w:fldChar w:fldCharType="separate"/>
      </w:r>
      <w:r w:rsidR="00560801">
        <w:rPr>
          <w:noProof/>
        </w:rPr>
        <w:t>1</w:t>
      </w:r>
      <w:r w:rsidR="0029302E">
        <w:rPr>
          <w:noProof/>
        </w:rPr>
        <w:fldChar w:fldCharType="end"/>
      </w:r>
      <w:bookmarkEnd w:id="54"/>
      <w:r>
        <w:t xml:space="preserve">: Difference in PRACH detection performance between low load and high load networks for a missed detection rate of </w:t>
      </w:r>
      <w:r w:rsidRPr="006C3F24">
        <w:t>10</w:t>
      </w:r>
      <w:r w:rsidRPr="000634A2">
        <w:rPr>
          <w:vertAlign w:val="superscript"/>
        </w:rPr>
        <w:t>-2</w:t>
      </w:r>
      <w:r>
        <w:t>.</w:t>
      </w:r>
      <w:r w:rsidRPr="006C3F24">
        <w:t xml:space="preserve"> </w:t>
      </w:r>
      <w:r>
        <w:t xml:space="preserve">There is a 1 dB difference in detection rate between low and high load for coherent detection in UL only symbols. For non-coherent MRC-like combining of mixed SBFD and UL symbols, the difference is 2 dB. For equal gain combining of SBFD and UL symbols, and SBFD symbols only, the difference is </w:t>
      </w:r>
      <w:r w:rsidR="00460E60">
        <w:t>11</w:t>
      </w:r>
      <w:r>
        <w:t xml:space="preserve"> dB.</w:t>
      </w:r>
    </w:p>
    <w:tbl>
      <w:tblPr>
        <w:tblStyle w:val="PlainTable5"/>
        <w:tblW w:w="0" w:type="auto"/>
        <w:jc w:val="center"/>
        <w:tblLook w:val="04A0" w:firstRow="1" w:lastRow="0" w:firstColumn="1" w:lastColumn="0" w:noHBand="0" w:noVBand="1"/>
      </w:tblPr>
      <w:tblGrid>
        <w:gridCol w:w="2705"/>
        <w:gridCol w:w="2019"/>
        <w:gridCol w:w="2019"/>
        <w:gridCol w:w="2161"/>
      </w:tblGrid>
      <w:tr w:rsidR="009E7951" w:rsidRPr="00370A17" w14:paraId="5A2FC8A3" w14:textId="77777777" w:rsidTr="009B276F">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vAlign w:val="center"/>
          </w:tcPr>
          <w:p w14:paraId="5D78CE43" w14:textId="12AF4490" w:rsidR="009E7951" w:rsidRPr="00C114B8" w:rsidRDefault="009E7951" w:rsidP="00BF6642">
            <w:pPr>
              <w:jc w:val="left"/>
              <w:rPr>
                <w:b/>
                <w:bCs/>
                <w:sz w:val="20"/>
                <w:lang w:eastAsia="en-GB"/>
              </w:rPr>
            </w:pPr>
            <w:r w:rsidRPr="00C114B8">
              <w:rPr>
                <w:b/>
                <w:bCs/>
                <w:sz w:val="20"/>
                <w:lang w:eastAsia="en-GB"/>
              </w:rPr>
              <w:t>RO composition/detection</w:t>
            </w:r>
          </w:p>
        </w:tc>
        <w:tc>
          <w:tcPr>
            <w:tcW w:w="0" w:type="auto"/>
            <w:vAlign w:val="center"/>
          </w:tcPr>
          <w:p w14:paraId="12BA864E" w14:textId="77777777" w:rsidR="00F2712C" w:rsidRPr="00C114B8" w:rsidRDefault="00F2712C" w:rsidP="00BF6642">
            <w:pPr>
              <w:jc w:val="center"/>
              <w:cnfStyle w:val="100000000000" w:firstRow="1" w:lastRow="0" w:firstColumn="0" w:lastColumn="0" w:oddVBand="0" w:evenVBand="0" w:oddHBand="0" w:evenHBand="0" w:firstRowFirstColumn="0" w:firstRowLastColumn="0" w:lastRowFirstColumn="0" w:lastRowLastColumn="0"/>
              <w:rPr>
                <w:rFonts w:eastAsiaTheme="minorEastAsia"/>
                <w:b/>
                <w:bCs/>
                <w:i w:val="0"/>
                <w:szCs w:val="14"/>
                <w:lang w:eastAsia="en-GB"/>
              </w:rPr>
            </w:pPr>
            <w:r w:rsidRPr="00C114B8">
              <w:rPr>
                <w:rFonts w:eastAsiaTheme="minorEastAsia"/>
                <w:b/>
                <w:bCs/>
                <w:iCs w:val="0"/>
                <w:sz w:val="20"/>
                <w:szCs w:val="14"/>
                <w:lang w:eastAsia="en-GB"/>
              </w:rPr>
              <w:t>Low load</w:t>
            </w:r>
          </w:p>
          <w:p w14:paraId="7E8DCFC1" w14:textId="4074C3F4" w:rsidR="009E7951" w:rsidRPr="00C114B8" w:rsidRDefault="0029302E" w:rsidP="00BF6642">
            <w:pPr>
              <w:jc w:val="center"/>
              <w:cnfStyle w:val="100000000000" w:firstRow="1" w:lastRow="0" w:firstColumn="0" w:lastColumn="0" w:oddVBand="0" w:evenVBand="0" w:oddHBand="0" w:evenHBand="0" w:firstRowFirstColumn="0" w:firstRowLastColumn="0" w:lastRowFirstColumn="0" w:lastRowLastColumn="0"/>
              <w:rPr>
                <w:b/>
                <w:bCs/>
                <w:i w:val="0"/>
                <w:iCs w:val="0"/>
                <w:lang w:eastAsia="en-GB"/>
              </w:rPr>
            </w:pPr>
            <m:oMath>
              <m:sSub>
                <m:sSubPr>
                  <m:ctrlPr>
                    <w:rPr>
                      <w:rFonts w:ascii="Cambria Math" w:hAnsi="Cambria Math"/>
                      <w:b/>
                      <w:bCs/>
                      <w:iCs w:val="0"/>
                      <w:sz w:val="20"/>
                      <w:szCs w:val="14"/>
                      <w:lang w:eastAsia="en-GB"/>
                    </w:rPr>
                  </m:ctrlPr>
                </m:sSubPr>
                <m:e>
                  <m:d>
                    <m:dPr>
                      <m:begChr m:val=""/>
                      <m:endChr m:val="|"/>
                      <m:ctrlPr>
                        <w:rPr>
                          <w:rFonts w:ascii="Cambria Math" w:hAnsi="Cambria Math"/>
                          <w:b/>
                          <w:bCs/>
                          <w:iCs w:val="0"/>
                          <w:sz w:val="20"/>
                          <w:szCs w:val="14"/>
                          <w:lang w:eastAsia="en-GB"/>
                        </w:rPr>
                      </m:ctrlPr>
                    </m:dPr>
                    <m:e>
                      <m:r>
                        <m:rPr>
                          <m:sty m:val="bi"/>
                        </m:rPr>
                        <w:rPr>
                          <w:rFonts w:ascii="Cambria Math" w:hAnsi="Cambria Math"/>
                          <w:sz w:val="20"/>
                          <w:szCs w:val="14"/>
                          <w:lang w:eastAsia="en-GB"/>
                        </w:rPr>
                        <m:t>SNR</m:t>
                      </m:r>
                    </m:e>
                  </m:d>
                </m:e>
                <m:sub>
                  <m:sSub>
                    <m:sSubPr>
                      <m:ctrlPr>
                        <w:rPr>
                          <w:rFonts w:ascii="Cambria Math" w:hAnsi="Cambria Math"/>
                          <w:b/>
                          <w:bCs/>
                          <w:iCs w:val="0"/>
                          <w:sz w:val="20"/>
                          <w:szCs w:val="14"/>
                          <w:lang w:eastAsia="en-GB"/>
                        </w:rPr>
                      </m:ctrlPr>
                    </m:sSubPr>
                    <m:e>
                      <m:r>
                        <m:rPr>
                          <m:sty m:val="bi"/>
                        </m:rPr>
                        <w:rPr>
                          <w:rFonts w:ascii="Cambria Math" w:hAnsi="Cambria Math"/>
                          <w:sz w:val="20"/>
                          <w:szCs w:val="14"/>
                          <w:lang w:eastAsia="en-GB"/>
                        </w:rPr>
                        <m:t>P</m:t>
                      </m:r>
                    </m:e>
                    <m:sub>
                      <m:r>
                        <m:rPr>
                          <m:sty m:val="bi"/>
                        </m:rPr>
                        <w:rPr>
                          <w:rFonts w:ascii="Cambria Math" w:hAnsi="Cambria Math"/>
                          <w:sz w:val="20"/>
                          <w:szCs w:val="14"/>
                          <w:lang w:eastAsia="en-GB"/>
                        </w:rPr>
                        <m:t>miss</m:t>
                      </m:r>
                    </m:sub>
                  </m:sSub>
                  <m:r>
                    <m:rPr>
                      <m:sty m:val="bi"/>
                    </m:rPr>
                    <w:rPr>
                      <w:rFonts w:ascii="Cambria Math" w:hAnsi="Cambria Math"/>
                      <w:sz w:val="20"/>
                      <w:szCs w:val="14"/>
                      <w:lang w:eastAsia="en-GB"/>
                    </w:rPr>
                    <m:t>=</m:t>
                  </m:r>
                  <m:sSup>
                    <m:sSupPr>
                      <m:ctrlPr>
                        <w:rPr>
                          <w:rFonts w:ascii="Cambria Math" w:hAnsi="Cambria Math"/>
                          <w:b/>
                          <w:bCs/>
                          <w:iCs w:val="0"/>
                          <w:sz w:val="20"/>
                          <w:szCs w:val="14"/>
                          <w:lang w:eastAsia="en-GB"/>
                        </w:rPr>
                      </m:ctrlPr>
                    </m:sSupPr>
                    <m:e>
                      <m:r>
                        <m:rPr>
                          <m:sty m:val="bi"/>
                        </m:rPr>
                        <w:rPr>
                          <w:rFonts w:ascii="Cambria Math" w:hAnsi="Cambria Math"/>
                          <w:sz w:val="20"/>
                          <w:szCs w:val="14"/>
                          <w:lang w:eastAsia="en-GB"/>
                        </w:rPr>
                        <m:t>10</m:t>
                      </m:r>
                    </m:e>
                    <m:sup>
                      <m:r>
                        <m:rPr>
                          <m:sty m:val="bi"/>
                        </m:rPr>
                        <w:rPr>
                          <w:rFonts w:ascii="Cambria Math" w:hAnsi="Cambria Math"/>
                          <w:sz w:val="20"/>
                          <w:szCs w:val="14"/>
                          <w:lang w:eastAsia="en-GB"/>
                        </w:rPr>
                        <m:t>-2</m:t>
                      </m:r>
                    </m:sup>
                  </m:sSup>
                </m:sub>
              </m:sSub>
            </m:oMath>
            <w:r w:rsidR="00F2712C" w:rsidRPr="00C114B8">
              <w:rPr>
                <w:rFonts w:eastAsiaTheme="minorEastAsia"/>
                <w:b/>
                <w:bCs/>
                <w:iCs w:val="0"/>
                <w:sz w:val="20"/>
                <w:szCs w:val="14"/>
                <w:lang w:eastAsia="en-GB"/>
              </w:rPr>
              <w:t>, [dB]</w:t>
            </w:r>
          </w:p>
        </w:tc>
        <w:tc>
          <w:tcPr>
            <w:tcW w:w="0" w:type="auto"/>
            <w:vAlign w:val="center"/>
          </w:tcPr>
          <w:p w14:paraId="69F40408" w14:textId="7AC3C250" w:rsidR="00F2712C" w:rsidRPr="00C114B8" w:rsidRDefault="00F2712C" w:rsidP="00BF6642">
            <w:pPr>
              <w:jc w:val="center"/>
              <w:cnfStyle w:val="100000000000" w:firstRow="1" w:lastRow="0" w:firstColumn="0" w:lastColumn="0" w:oddVBand="0" w:evenVBand="0" w:oddHBand="0" w:evenHBand="0" w:firstRowFirstColumn="0" w:firstRowLastColumn="0" w:lastRowFirstColumn="0" w:lastRowLastColumn="0"/>
              <w:rPr>
                <w:rFonts w:eastAsiaTheme="minorEastAsia"/>
                <w:b/>
                <w:bCs/>
                <w:i w:val="0"/>
                <w:szCs w:val="14"/>
                <w:lang w:eastAsia="en-GB"/>
              </w:rPr>
            </w:pPr>
            <w:r w:rsidRPr="00C114B8">
              <w:rPr>
                <w:rFonts w:eastAsiaTheme="minorEastAsia"/>
                <w:b/>
                <w:bCs/>
                <w:iCs w:val="0"/>
                <w:sz w:val="20"/>
                <w:szCs w:val="14"/>
                <w:lang w:eastAsia="en-GB"/>
              </w:rPr>
              <w:lastRenderedPageBreak/>
              <w:t>High load</w:t>
            </w:r>
          </w:p>
          <w:p w14:paraId="21682324" w14:textId="03E77C12" w:rsidR="009E7951" w:rsidRPr="00C114B8" w:rsidRDefault="0029302E" w:rsidP="00BF6642">
            <w:pPr>
              <w:jc w:val="center"/>
              <w:cnfStyle w:val="100000000000" w:firstRow="1" w:lastRow="0" w:firstColumn="0" w:lastColumn="0" w:oddVBand="0" w:evenVBand="0" w:oddHBand="0" w:evenHBand="0" w:firstRowFirstColumn="0" w:firstRowLastColumn="0" w:lastRowFirstColumn="0" w:lastRowLastColumn="0"/>
              <w:rPr>
                <w:b/>
                <w:bCs/>
                <w:sz w:val="20"/>
                <w:lang w:eastAsia="en-GB"/>
              </w:rPr>
            </w:pPr>
            <m:oMath>
              <m:sSub>
                <m:sSubPr>
                  <m:ctrlPr>
                    <w:rPr>
                      <w:rFonts w:ascii="Cambria Math" w:hAnsi="Cambria Math"/>
                      <w:b/>
                      <w:bCs/>
                      <w:iCs w:val="0"/>
                      <w:sz w:val="20"/>
                      <w:szCs w:val="14"/>
                      <w:lang w:eastAsia="en-GB"/>
                    </w:rPr>
                  </m:ctrlPr>
                </m:sSubPr>
                <m:e>
                  <m:d>
                    <m:dPr>
                      <m:begChr m:val=""/>
                      <m:endChr m:val="|"/>
                      <m:ctrlPr>
                        <w:rPr>
                          <w:rFonts w:ascii="Cambria Math" w:hAnsi="Cambria Math"/>
                          <w:b/>
                          <w:bCs/>
                          <w:iCs w:val="0"/>
                          <w:sz w:val="20"/>
                          <w:szCs w:val="14"/>
                          <w:lang w:eastAsia="en-GB"/>
                        </w:rPr>
                      </m:ctrlPr>
                    </m:dPr>
                    <m:e>
                      <m:r>
                        <m:rPr>
                          <m:sty m:val="bi"/>
                        </m:rPr>
                        <w:rPr>
                          <w:rFonts w:ascii="Cambria Math" w:hAnsi="Cambria Math"/>
                          <w:sz w:val="20"/>
                          <w:szCs w:val="14"/>
                          <w:lang w:eastAsia="en-GB"/>
                        </w:rPr>
                        <m:t>SNR</m:t>
                      </m:r>
                    </m:e>
                  </m:d>
                </m:e>
                <m:sub>
                  <m:sSub>
                    <m:sSubPr>
                      <m:ctrlPr>
                        <w:rPr>
                          <w:rFonts w:ascii="Cambria Math" w:hAnsi="Cambria Math"/>
                          <w:b/>
                          <w:bCs/>
                          <w:iCs w:val="0"/>
                          <w:sz w:val="20"/>
                          <w:szCs w:val="14"/>
                          <w:lang w:eastAsia="en-GB"/>
                        </w:rPr>
                      </m:ctrlPr>
                    </m:sSubPr>
                    <m:e>
                      <m:r>
                        <m:rPr>
                          <m:sty m:val="bi"/>
                        </m:rPr>
                        <w:rPr>
                          <w:rFonts w:ascii="Cambria Math" w:hAnsi="Cambria Math"/>
                          <w:sz w:val="20"/>
                          <w:szCs w:val="14"/>
                          <w:lang w:eastAsia="en-GB"/>
                        </w:rPr>
                        <m:t>P</m:t>
                      </m:r>
                    </m:e>
                    <m:sub>
                      <m:r>
                        <m:rPr>
                          <m:sty m:val="bi"/>
                        </m:rPr>
                        <w:rPr>
                          <w:rFonts w:ascii="Cambria Math" w:hAnsi="Cambria Math"/>
                          <w:sz w:val="20"/>
                          <w:szCs w:val="14"/>
                          <w:lang w:eastAsia="en-GB"/>
                        </w:rPr>
                        <m:t>miss</m:t>
                      </m:r>
                    </m:sub>
                  </m:sSub>
                  <m:r>
                    <m:rPr>
                      <m:sty m:val="bi"/>
                    </m:rPr>
                    <w:rPr>
                      <w:rFonts w:ascii="Cambria Math" w:hAnsi="Cambria Math"/>
                      <w:sz w:val="20"/>
                      <w:szCs w:val="14"/>
                      <w:lang w:eastAsia="en-GB"/>
                    </w:rPr>
                    <m:t>=</m:t>
                  </m:r>
                  <m:sSup>
                    <m:sSupPr>
                      <m:ctrlPr>
                        <w:rPr>
                          <w:rFonts w:ascii="Cambria Math" w:hAnsi="Cambria Math"/>
                          <w:b/>
                          <w:bCs/>
                          <w:iCs w:val="0"/>
                          <w:sz w:val="20"/>
                          <w:szCs w:val="14"/>
                          <w:lang w:eastAsia="en-GB"/>
                        </w:rPr>
                      </m:ctrlPr>
                    </m:sSupPr>
                    <m:e>
                      <m:r>
                        <m:rPr>
                          <m:sty m:val="bi"/>
                        </m:rPr>
                        <w:rPr>
                          <w:rFonts w:ascii="Cambria Math" w:hAnsi="Cambria Math"/>
                          <w:sz w:val="20"/>
                          <w:szCs w:val="14"/>
                          <w:lang w:eastAsia="en-GB"/>
                        </w:rPr>
                        <m:t>10</m:t>
                      </m:r>
                    </m:e>
                    <m:sup>
                      <m:r>
                        <m:rPr>
                          <m:sty m:val="bi"/>
                        </m:rPr>
                        <w:rPr>
                          <w:rFonts w:ascii="Cambria Math" w:hAnsi="Cambria Math"/>
                          <w:sz w:val="20"/>
                          <w:szCs w:val="14"/>
                          <w:lang w:eastAsia="en-GB"/>
                        </w:rPr>
                        <m:t>-2</m:t>
                      </m:r>
                    </m:sup>
                  </m:sSup>
                </m:sub>
              </m:sSub>
            </m:oMath>
            <w:r w:rsidR="00F2712C" w:rsidRPr="00C114B8">
              <w:rPr>
                <w:rFonts w:eastAsiaTheme="minorEastAsia"/>
                <w:b/>
                <w:bCs/>
                <w:iCs w:val="0"/>
                <w:sz w:val="20"/>
                <w:szCs w:val="14"/>
                <w:lang w:eastAsia="en-GB"/>
              </w:rPr>
              <w:t>, [dB]</w:t>
            </w:r>
          </w:p>
        </w:tc>
        <w:tc>
          <w:tcPr>
            <w:tcW w:w="0" w:type="auto"/>
            <w:vAlign w:val="center"/>
          </w:tcPr>
          <w:p w14:paraId="3F25955C" w14:textId="57674D25" w:rsidR="009E7951" w:rsidRPr="00C114B8" w:rsidRDefault="009E7951" w:rsidP="00BF6642">
            <w:pPr>
              <w:jc w:val="center"/>
              <w:cnfStyle w:val="100000000000" w:firstRow="1" w:lastRow="0" w:firstColumn="0" w:lastColumn="0" w:oddVBand="0" w:evenVBand="0" w:oddHBand="0" w:evenHBand="0" w:firstRowFirstColumn="0" w:firstRowLastColumn="0" w:lastRowFirstColumn="0" w:lastRowLastColumn="0"/>
              <w:rPr>
                <w:b/>
                <w:bCs/>
                <w:i w:val="0"/>
                <w:iCs w:val="0"/>
                <w:lang w:eastAsia="en-GB"/>
              </w:rPr>
            </w:pPr>
            <w:r w:rsidRPr="00C114B8">
              <w:rPr>
                <w:b/>
                <w:bCs/>
                <w:sz w:val="20"/>
                <w:lang w:eastAsia="en-GB"/>
              </w:rPr>
              <w:lastRenderedPageBreak/>
              <w:t>Difference</w:t>
            </w:r>
            <w:r w:rsidR="00BF6642" w:rsidRPr="00C114B8">
              <w:rPr>
                <w:b/>
                <w:bCs/>
                <w:sz w:val="20"/>
                <w:lang w:eastAsia="en-GB"/>
              </w:rPr>
              <w:t xml:space="preserve"> High-Low</w:t>
            </w:r>
          </w:p>
          <w:p w14:paraId="3318D1A7" w14:textId="463DD09D" w:rsidR="00F2712C" w:rsidRPr="00C114B8" w:rsidRDefault="0029302E" w:rsidP="00BF6642">
            <w:pPr>
              <w:jc w:val="center"/>
              <w:cnfStyle w:val="100000000000" w:firstRow="1" w:lastRow="0" w:firstColumn="0" w:lastColumn="0" w:oddVBand="0" w:evenVBand="0" w:oddHBand="0" w:evenHBand="0" w:firstRowFirstColumn="0" w:firstRowLastColumn="0" w:lastRowFirstColumn="0" w:lastRowLastColumn="0"/>
              <w:rPr>
                <w:b/>
                <w:bCs/>
                <w:sz w:val="20"/>
                <w:lang w:eastAsia="en-GB"/>
              </w:rPr>
            </w:pPr>
            <m:oMath>
              <m:sSub>
                <m:sSubPr>
                  <m:ctrlPr>
                    <w:rPr>
                      <w:rFonts w:ascii="Cambria Math" w:hAnsi="Cambria Math"/>
                      <w:b/>
                      <w:bCs/>
                      <w:iCs w:val="0"/>
                      <w:sz w:val="20"/>
                      <w:szCs w:val="14"/>
                      <w:lang w:eastAsia="en-GB"/>
                    </w:rPr>
                  </m:ctrlPr>
                </m:sSubPr>
                <m:e>
                  <m:d>
                    <m:dPr>
                      <m:begChr m:val=""/>
                      <m:endChr m:val="|"/>
                      <m:ctrlPr>
                        <w:rPr>
                          <w:rFonts w:ascii="Cambria Math" w:hAnsi="Cambria Math"/>
                          <w:b/>
                          <w:bCs/>
                          <w:iCs w:val="0"/>
                          <w:sz w:val="20"/>
                          <w:szCs w:val="14"/>
                          <w:lang w:eastAsia="en-GB"/>
                        </w:rPr>
                      </m:ctrlPr>
                    </m:dPr>
                    <m:e>
                      <m:r>
                        <m:rPr>
                          <m:sty m:val="bi"/>
                        </m:rPr>
                        <w:rPr>
                          <w:rFonts w:ascii="Cambria Math" w:hAnsi="Cambria Math"/>
                          <w:sz w:val="20"/>
                          <w:szCs w:val="14"/>
                          <w:lang w:eastAsia="en-GB"/>
                        </w:rPr>
                        <m:t>SNR</m:t>
                      </m:r>
                    </m:e>
                  </m:d>
                </m:e>
                <m:sub>
                  <m:sSub>
                    <m:sSubPr>
                      <m:ctrlPr>
                        <w:rPr>
                          <w:rFonts w:ascii="Cambria Math" w:hAnsi="Cambria Math"/>
                          <w:b/>
                          <w:bCs/>
                          <w:iCs w:val="0"/>
                          <w:sz w:val="20"/>
                          <w:szCs w:val="14"/>
                          <w:lang w:eastAsia="en-GB"/>
                        </w:rPr>
                      </m:ctrlPr>
                    </m:sSubPr>
                    <m:e>
                      <m:r>
                        <m:rPr>
                          <m:sty m:val="bi"/>
                        </m:rPr>
                        <w:rPr>
                          <w:rFonts w:ascii="Cambria Math" w:hAnsi="Cambria Math"/>
                          <w:sz w:val="20"/>
                          <w:szCs w:val="14"/>
                          <w:lang w:eastAsia="en-GB"/>
                        </w:rPr>
                        <m:t>P</m:t>
                      </m:r>
                    </m:e>
                    <m:sub>
                      <m:r>
                        <m:rPr>
                          <m:sty m:val="bi"/>
                        </m:rPr>
                        <w:rPr>
                          <w:rFonts w:ascii="Cambria Math" w:hAnsi="Cambria Math"/>
                          <w:sz w:val="20"/>
                          <w:szCs w:val="14"/>
                          <w:lang w:eastAsia="en-GB"/>
                        </w:rPr>
                        <m:t>miss</m:t>
                      </m:r>
                    </m:sub>
                  </m:sSub>
                  <m:r>
                    <m:rPr>
                      <m:sty m:val="bi"/>
                    </m:rPr>
                    <w:rPr>
                      <w:rFonts w:ascii="Cambria Math" w:hAnsi="Cambria Math"/>
                      <w:sz w:val="20"/>
                      <w:szCs w:val="14"/>
                      <w:lang w:eastAsia="en-GB"/>
                    </w:rPr>
                    <m:t>=</m:t>
                  </m:r>
                  <m:sSup>
                    <m:sSupPr>
                      <m:ctrlPr>
                        <w:rPr>
                          <w:rFonts w:ascii="Cambria Math" w:hAnsi="Cambria Math"/>
                          <w:b/>
                          <w:bCs/>
                          <w:iCs w:val="0"/>
                          <w:sz w:val="20"/>
                          <w:szCs w:val="14"/>
                          <w:lang w:eastAsia="en-GB"/>
                        </w:rPr>
                      </m:ctrlPr>
                    </m:sSupPr>
                    <m:e>
                      <m:r>
                        <m:rPr>
                          <m:sty m:val="bi"/>
                        </m:rPr>
                        <w:rPr>
                          <w:rFonts w:ascii="Cambria Math" w:hAnsi="Cambria Math"/>
                          <w:sz w:val="20"/>
                          <w:szCs w:val="14"/>
                          <w:lang w:eastAsia="en-GB"/>
                        </w:rPr>
                        <m:t>10</m:t>
                      </m:r>
                    </m:e>
                    <m:sup>
                      <m:r>
                        <m:rPr>
                          <m:sty m:val="bi"/>
                        </m:rPr>
                        <w:rPr>
                          <w:rFonts w:ascii="Cambria Math" w:hAnsi="Cambria Math"/>
                          <w:sz w:val="20"/>
                          <w:szCs w:val="14"/>
                          <w:lang w:eastAsia="en-GB"/>
                        </w:rPr>
                        <m:t>-2</m:t>
                      </m:r>
                    </m:sup>
                  </m:sSup>
                </m:sub>
              </m:sSub>
            </m:oMath>
            <w:r w:rsidR="00F2712C" w:rsidRPr="00C114B8">
              <w:rPr>
                <w:rFonts w:eastAsiaTheme="minorEastAsia"/>
                <w:b/>
                <w:bCs/>
                <w:iCs w:val="0"/>
                <w:sz w:val="20"/>
                <w:szCs w:val="14"/>
                <w:lang w:eastAsia="en-GB"/>
              </w:rPr>
              <w:t>, [dB]</w:t>
            </w:r>
          </w:p>
        </w:tc>
      </w:tr>
      <w:tr w:rsidR="009E7951" w:rsidRPr="00370A17" w14:paraId="44EDB170" w14:textId="77777777" w:rsidTr="009B276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630EE4D" w14:textId="5208296E" w:rsidR="009E7951" w:rsidRPr="00370A17" w:rsidRDefault="009E7951" w:rsidP="00370A17">
            <w:pPr>
              <w:jc w:val="left"/>
              <w:rPr>
                <w:sz w:val="20"/>
                <w:lang w:eastAsia="en-GB"/>
              </w:rPr>
            </w:pPr>
            <w:r w:rsidRPr="00370A17">
              <w:rPr>
                <w:sz w:val="20"/>
                <w:lang w:eastAsia="en-GB"/>
              </w:rPr>
              <w:lastRenderedPageBreak/>
              <w:t>UL only</w:t>
            </w:r>
            <w:r w:rsidR="001C26D1">
              <w:rPr>
                <w:sz w:val="20"/>
                <w:lang w:eastAsia="en-GB"/>
              </w:rPr>
              <w:t xml:space="preserve"> (</w:t>
            </w:r>
            <w:r w:rsidR="00D74B71" w:rsidRPr="00D74B71">
              <w:rPr>
                <w:rFonts w:asciiTheme="minorBidi" w:hAnsiTheme="minorBidi"/>
                <w:b/>
                <w:bCs/>
                <w:color w:val="0000FF"/>
                <w:sz w:val="20"/>
                <w:lang w:eastAsia="en-GB"/>
              </w:rPr>
              <w:t>‒ϴ‒</w:t>
            </w:r>
            <w:r w:rsidR="001C26D1">
              <w:rPr>
                <w:sz w:val="20"/>
                <w:lang w:eastAsia="en-GB"/>
              </w:rPr>
              <w:t>)</w:t>
            </w:r>
          </w:p>
        </w:tc>
        <w:tc>
          <w:tcPr>
            <w:tcW w:w="0" w:type="auto"/>
          </w:tcPr>
          <w:p w14:paraId="4E32FF0D" w14:textId="1574FD13" w:rsidR="009E7951" w:rsidRPr="00370A17" w:rsidRDefault="009E7951" w:rsidP="00370A17">
            <w:pPr>
              <w:jc w:val="center"/>
              <w:cnfStyle w:val="000000100000" w:firstRow="0" w:lastRow="0" w:firstColumn="0" w:lastColumn="0" w:oddVBand="0" w:evenVBand="0" w:oddHBand="1" w:evenHBand="0" w:firstRowFirstColumn="0" w:firstRowLastColumn="0" w:lastRowFirstColumn="0" w:lastRowLastColumn="0"/>
              <w:rPr>
                <w:lang w:eastAsia="en-GB"/>
              </w:rPr>
            </w:pPr>
            <w:r w:rsidRPr="00370A17">
              <w:rPr>
                <w:lang w:eastAsia="en-GB"/>
              </w:rPr>
              <w:t>-</w:t>
            </w:r>
            <w:r w:rsidR="004D7CF4">
              <w:rPr>
                <w:lang w:eastAsia="en-GB"/>
              </w:rPr>
              <w:t>9</w:t>
            </w:r>
          </w:p>
        </w:tc>
        <w:tc>
          <w:tcPr>
            <w:tcW w:w="0" w:type="auto"/>
          </w:tcPr>
          <w:p w14:paraId="156F71F6" w14:textId="441D6DF6" w:rsidR="009E7951" w:rsidRPr="00370A17" w:rsidRDefault="009E7951" w:rsidP="00370A17">
            <w:pPr>
              <w:jc w:val="center"/>
              <w:cnfStyle w:val="000000100000" w:firstRow="0" w:lastRow="0" w:firstColumn="0" w:lastColumn="0" w:oddVBand="0" w:evenVBand="0" w:oddHBand="1" w:evenHBand="0" w:firstRowFirstColumn="0" w:firstRowLastColumn="0" w:lastRowFirstColumn="0" w:lastRowLastColumn="0"/>
              <w:rPr>
                <w:lang w:eastAsia="en-GB"/>
              </w:rPr>
            </w:pPr>
            <w:r w:rsidRPr="00370A17">
              <w:rPr>
                <w:lang w:eastAsia="en-GB"/>
              </w:rPr>
              <w:t>-</w:t>
            </w:r>
            <w:r w:rsidR="00460E60">
              <w:rPr>
                <w:lang w:eastAsia="en-GB"/>
              </w:rPr>
              <w:t>8</w:t>
            </w:r>
          </w:p>
        </w:tc>
        <w:tc>
          <w:tcPr>
            <w:tcW w:w="0" w:type="auto"/>
          </w:tcPr>
          <w:p w14:paraId="6F73B4D8" w14:textId="7B0D8D02" w:rsidR="009E7951" w:rsidRPr="00881268" w:rsidRDefault="009E7951" w:rsidP="00370A17">
            <w:pPr>
              <w:jc w:val="center"/>
              <w:cnfStyle w:val="000000100000" w:firstRow="0" w:lastRow="0" w:firstColumn="0" w:lastColumn="0" w:oddVBand="0" w:evenVBand="0" w:oddHBand="1" w:evenHBand="0" w:firstRowFirstColumn="0" w:firstRowLastColumn="0" w:lastRowFirstColumn="0" w:lastRowLastColumn="0"/>
              <w:rPr>
                <w:b/>
                <w:bCs/>
                <w:color w:val="00B050"/>
                <w:lang w:eastAsia="en-GB"/>
              </w:rPr>
            </w:pPr>
            <w:r w:rsidRPr="00881268">
              <w:rPr>
                <w:b/>
                <w:bCs/>
                <w:color w:val="00B050"/>
                <w:lang w:eastAsia="en-GB"/>
              </w:rPr>
              <w:t>1</w:t>
            </w:r>
          </w:p>
        </w:tc>
      </w:tr>
      <w:tr w:rsidR="009E7951" w:rsidRPr="00370A17" w14:paraId="40183921" w14:textId="77777777" w:rsidTr="009B276F">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DBCEFF9" w14:textId="5BA005D0" w:rsidR="009E7951" w:rsidRPr="00370A17" w:rsidRDefault="009E7951" w:rsidP="00370A17">
            <w:pPr>
              <w:jc w:val="left"/>
              <w:rPr>
                <w:sz w:val="20"/>
                <w:lang w:eastAsia="en-GB"/>
              </w:rPr>
            </w:pPr>
            <w:r w:rsidRPr="00370A17">
              <w:rPr>
                <w:sz w:val="20"/>
                <w:lang w:eastAsia="en-GB"/>
              </w:rPr>
              <w:t>SBFD/UL, MRC-like</w:t>
            </w:r>
            <w:r w:rsidR="00D74B71">
              <w:rPr>
                <w:sz w:val="20"/>
                <w:lang w:eastAsia="en-GB"/>
              </w:rPr>
              <w:t xml:space="preserve"> (</w:t>
            </w:r>
            <w:r w:rsidR="00D74B71" w:rsidRPr="00A940F1">
              <w:rPr>
                <w:b/>
                <w:bCs/>
                <w:color w:val="FF0000"/>
                <w:sz w:val="20"/>
                <w:lang w:eastAsia="en-GB"/>
              </w:rPr>
              <w:t>--x--</w:t>
            </w:r>
            <w:r w:rsidR="00D74B71">
              <w:rPr>
                <w:sz w:val="20"/>
                <w:lang w:eastAsia="en-GB"/>
              </w:rPr>
              <w:t>)</w:t>
            </w:r>
          </w:p>
        </w:tc>
        <w:tc>
          <w:tcPr>
            <w:tcW w:w="0" w:type="auto"/>
          </w:tcPr>
          <w:p w14:paraId="044F1EF1" w14:textId="381048B7" w:rsidR="009E7951" w:rsidRPr="00370A17" w:rsidRDefault="009E7951" w:rsidP="00370A17">
            <w:pPr>
              <w:jc w:val="center"/>
              <w:cnfStyle w:val="000000000000" w:firstRow="0" w:lastRow="0" w:firstColumn="0" w:lastColumn="0" w:oddVBand="0" w:evenVBand="0" w:oddHBand="0" w:evenHBand="0" w:firstRowFirstColumn="0" w:firstRowLastColumn="0" w:lastRowFirstColumn="0" w:lastRowLastColumn="0"/>
              <w:rPr>
                <w:lang w:eastAsia="en-GB"/>
              </w:rPr>
            </w:pPr>
            <w:r w:rsidRPr="00370A17">
              <w:rPr>
                <w:lang w:eastAsia="en-GB"/>
              </w:rPr>
              <w:t>-</w:t>
            </w:r>
            <w:r w:rsidR="004D7CF4">
              <w:rPr>
                <w:lang w:eastAsia="en-GB"/>
              </w:rPr>
              <w:t>7</w:t>
            </w:r>
          </w:p>
        </w:tc>
        <w:tc>
          <w:tcPr>
            <w:tcW w:w="0" w:type="auto"/>
          </w:tcPr>
          <w:p w14:paraId="6A62C436" w14:textId="63C25FDB" w:rsidR="009E7951" w:rsidRPr="00370A17" w:rsidRDefault="009E7951" w:rsidP="00370A17">
            <w:pPr>
              <w:jc w:val="center"/>
              <w:cnfStyle w:val="000000000000" w:firstRow="0" w:lastRow="0" w:firstColumn="0" w:lastColumn="0" w:oddVBand="0" w:evenVBand="0" w:oddHBand="0" w:evenHBand="0" w:firstRowFirstColumn="0" w:firstRowLastColumn="0" w:lastRowFirstColumn="0" w:lastRowLastColumn="0"/>
              <w:rPr>
                <w:lang w:eastAsia="en-GB"/>
              </w:rPr>
            </w:pPr>
            <w:r w:rsidRPr="00370A17">
              <w:rPr>
                <w:lang w:eastAsia="en-GB"/>
              </w:rPr>
              <w:t>-</w:t>
            </w:r>
            <w:r w:rsidR="00460E60">
              <w:rPr>
                <w:lang w:eastAsia="en-GB"/>
              </w:rPr>
              <w:t>5</w:t>
            </w:r>
          </w:p>
        </w:tc>
        <w:tc>
          <w:tcPr>
            <w:tcW w:w="0" w:type="auto"/>
          </w:tcPr>
          <w:p w14:paraId="6A0E4274" w14:textId="0254675A" w:rsidR="009E7951" w:rsidRPr="00881268" w:rsidRDefault="009E7951" w:rsidP="00370A17">
            <w:pPr>
              <w:jc w:val="center"/>
              <w:cnfStyle w:val="000000000000" w:firstRow="0" w:lastRow="0" w:firstColumn="0" w:lastColumn="0" w:oddVBand="0" w:evenVBand="0" w:oddHBand="0" w:evenHBand="0" w:firstRowFirstColumn="0" w:firstRowLastColumn="0" w:lastRowFirstColumn="0" w:lastRowLastColumn="0"/>
              <w:rPr>
                <w:b/>
                <w:bCs/>
                <w:color w:val="00B050"/>
                <w:lang w:eastAsia="en-GB"/>
              </w:rPr>
            </w:pPr>
            <w:r w:rsidRPr="00881268">
              <w:rPr>
                <w:b/>
                <w:bCs/>
                <w:color w:val="00B050"/>
                <w:lang w:eastAsia="en-GB"/>
              </w:rPr>
              <w:t>2</w:t>
            </w:r>
          </w:p>
        </w:tc>
      </w:tr>
      <w:tr w:rsidR="009E7951" w:rsidRPr="00370A17" w14:paraId="3611A656" w14:textId="77777777" w:rsidTr="009B276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C546A6C" w14:textId="4226255B" w:rsidR="009E7951" w:rsidRPr="00370A17" w:rsidRDefault="009E7951" w:rsidP="00370A17">
            <w:pPr>
              <w:jc w:val="left"/>
              <w:rPr>
                <w:sz w:val="20"/>
                <w:lang w:eastAsia="en-GB"/>
              </w:rPr>
            </w:pPr>
            <w:r w:rsidRPr="00370A17">
              <w:rPr>
                <w:sz w:val="20"/>
                <w:lang w:eastAsia="en-GB"/>
              </w:rPr>
              <w:t>SBFD/UL, equal gain</w:t>
            </w:r>
            <w:r w:rsidR="00D74B71">
              <w:rPr>
                <w:sz w:val="20"/>
                <w:lang w:eastAsia="en-GB"/>
              </w:rPr>
              <w:t xml:space="preserve"> (</w:t>
            </w:r>
            <w:r w:rsidR="00D74B71" w:rsidRPr="00A940F1">
              <w:rPr>
                <w:b/>
                <w:bCs/>
                <w:color w:val="FF0000"/>
                <w:sz w:val="20"/>
                <w:lang w:eastAsia="en-GB"/>
              </w:rPr>
              <w:t>‒□‒</w:t>
            </w:r>
            <w:r w:rsidR="00D74B71">
              <w:rPr>
                <w:sz w:val="20"/>
                <w:lang w:eastAsia="en-GB"/>
              </w:rPr>
              <w:t>)</w:t>
            </w:r>
          </w:p>
        </w:tc>
        <w:tc>
          <w:tcPr>
            <w:tcW w:w="0" w:type="auto"/>
          </w:tcPr>
          <w:p w14:paraId="4D839D5B" w14:textId="32E44A6C" w:rsidR="009E7951" w:rsidRPr="00370A17" w:rsidRDefault="004D7CF4" w:rsidP="00370A17">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7</w:t>
            </w:r>
          </w:p>
        </w:tc>
        <w:tc>
          <w:tcPr>
            <w:tcW w:w="0" w:type="auto"/>
          </w:tcPr>
          <w:p w14:paraId="4D388A18" w14:textId="7B07E05B" w:rsidR="009E7951" w:rsidRPr="00370A17" w:rsidRDefault="009E7951" w:rsidP="00370A17">
            <w:pPr>
              <w:jc w:val="center"/>
              <w:cnfStyle w:val="000000100000" w:firstRow="0" w:lastRow="0" w:firstColumn="0" w:lastColumn="0" w:oddVBand="0" w:evenVBand="0" w:oddHBand="1" w:evenHBand="0" w:firstRowFirstColumn="0" w:firstRowLastColumn="0" w:lastRowFirstColumn="0" w:lastRowLastColumn="0"/>
              <w:rPr>
                <w:lang w:eastAsia="en-GB"/>
              </w:rPr>
            </w:pPr>
            <w:r w:rsidRPr="00370A17">
              <w:rPr>
                <w:lang w:eastAsia="en-GB"/>
              </w:rPr>
              <w:t>1</w:t>
            </w:r>
            <w:r w:rsidR="00460E60">
              <w:rPr>
                <w:lang w:eastAsia="en-GB"/>
              </w:rPr>
              <w:t>8</w:t>
            </w:r>
          </w:p>
        </w:tc>
        <w:tc>
          <w:tcPr>
            <w:tcW w:w="0" w:type="auto"/>
          </w:tcPr>
          <w:p w14:paraId="0D1692FD" w14:textId="226646DD" w:rsidR="009E7951" w:rsidRPr="00881268" w:rsidRDefault="009E7951" w:rsidP="00370A17">
            <w:pPr>
              <w:jc w:val="center"/>
              <w:cnfStyle w:val="000000100000" w:firstRow="0" w:lastRow="0" w:firstColumn="0" w:lastColumn="0" w:oddVBand="0" w:evenVBand="0" w:oddHBand="1" w:evenHBand="0" w:firstRowFirstColumn="0" w:firstRowLastColumn="0" w:lastRowFirstColumn="0" w:lastRowLastColumn="0"/>
              <w:rPr>
                <w:b/>
                <w:bCs/>
                <w:color w:val="FF0000"/>
                <w:lang w:eastAsia="en-GB"/>
              </w:rPr>
            </w:pPr>
            <w:r w:rsidRPr="00881268">
              <w:rPr>
                <w:b/>
                <w:bCs/>
                <w:color w:val="FF0000"/>
                <w:lang w:eastAsia="en-GB"/>
              </w:rPr>
              <w:t>11</w:t>
            </w:r>
          </w:p>
        </w:tc>
      </w:tr>
      <w:tr w:rsidR="009E7951" w:rsidRPr="00370A17" w14:paraId="5552F6F7" w14:textId="77777777" w:rsidTr="009B276F">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E271472" w14:textId="00EEFFA1" w:rsidR="009E7951" w:rsidRPr="00370A17" w:rsidRDefault="009E7951" w:rsidP="00370A17">
            <w:pPr>
              <w:jc w:val="left"/>
              <w:rPr>
                <w:sz w:val="20"/>
                <w:lang w:eastAsia="en-GB"/>
              </w:rPr>
            </w:pPr>
            <w:r w:rsidRPr="00370A17">
              <w:rPr>
                <w:sz w:val="20"/>
                <w:lang w:eastAsia="en-GB"/>
              </w:rPr>
              <w:t>SBFD only, equal gain</w:t>
            </w:r>
            <w:r w:rsidR="00D74B71">
              <w:rPr>
                <w:sz w:val="20"/>
                <w:lang w:eastAsia="en-GB"/>
              </w:rPr>
              <w:t xml:space="preserve"> (</w:t>
            </w:r>
            <w:r w:rsidR="00D74B71" w:rsidRPr="00D74B71">
              <w:rPr>
                <w:rFonts w:cs="Arial"/>
                <w:b/>
                <w:bCs/>
                <w:color w:val="00B050"/>
                <w:sz w:val="20"/>
                <w:lang w:eastAsia="en-GB"/>
              </w:rPr>
              <w:t>‒*</w:t>
            </w:r>
            <w:r w:rsidR="00D74B71" w:rsidRPr="00D74B71">
              <w:rPr>
                <w:rFonts w:asciiTheme="minorBidi" w:hAnsiTheme="minorBidi"/>
                <w:b/>
                <w:bCs/>
                <w:color w:val="00B050"/>
                <w:sz w:val="20"/>
                <w:lang w:eastAsia="en-GB"/>
              </w:rPr>
              <w:t>‒</w:t>
            </w:r>
            <w:r w:rsidR="00D74B71">
              <w:rPr>
                <w:sz w:val="20"/>
                <w:lang w:eastAsia="en-GB"/>
              </w:rPr>
              <w:t>)</w:t>
            </w:r>
          </w:p>
        </w:tc>
        <w:tc>
          <w:tcPr>
            <w:tcW w:w="0" w:type="auto"/>
          </w:tcPr>
          <w:p w14:paraId="1C484623" w14:textId="7836FC11" w:rsidR="009E7951" w:rsidRPr="00370A17" w:rsidRDefault="004D7CF4" w:rsidP="00370A17">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8</w:t>
            </w:r>
          </w:p>
        </w:tc>
        <w:tc>
          <w:tcPr>
            <w:tcW w:w="0" w:type="auto"/>
          </w:tcPr>
          <w:p w14:paraId="1BB775B3" w14:textId="7070FF80" w:rsidR="009E7951" w:rsidRPr="00370A17" w:rsidRDefault="009E7951" w:rsidP="00370A17">
            <w:pPr>
              <w:jc w:val="center"/>
              <w:cnfStyle w:val="000000000000" w:firstRow="0" w:lastRow="0" w:firstColumn="0" w:lastColumn="0" w:oddVBand="0" w:evenVBand="0" w:oddHBand="0" w:evenHBand="0" w:firstRowFirstColumn="0" w:firstRowLastColumn="0" w:lastRowFirstColumn="0" w:lastRowLastColumn="0"/>
              <w:rPr>
                <w:lang w:eastAsia="en-GB"/>
              </w:rPr>
            </w:pPr>
            <w:r w:rsidRPr="00370A17">
              <w:rPr>
                <w:lang w:eastAsia="en-GB"/>
              </w:rPr>
              <w:t>1</w:t>
            </w:r>
            <w:r w:rsidR="00460E60">
              <w:rPr>
                <w:lang w:eastAsia="en-GB"/>
              </w:rPr>
              <w:t>9</w:t>
            </w:r>
          </w:p>
        </w:tc>
        <w:tc>
          <w:tcPr>
            <w:tcW w:w="0" w:type="auto"/>
          </w:tcPr>
          <w:p w14:paraId="682B045B" w14:textId="24CA5CBC" w:rsidR="009E7951" w:rsidRPr="00881268" w:rsidRDefault="009E7951" w:rsidP="00370A17">
            <w:pPr>
              <w:jc w:val="center"/>
              <w:cnfStyle w:val="000000000000" w:firstRow="0" w:lastRow="0" w:firstColumn="0" w:lastColumn="0" w:oddVBand="0" w:evenVBand="0" w:oddHBand="0" w:evenHBand="0" w:firstRowFirstColumn="0" w:firstRowLastColumn="0" w:lastRowFirstColumn="0" w:lastRowLastColumn="0"/>
              <w:rPr>
                <w:b/>
                <w:bCs/>
                <w:color w:val="FF0000"/>
                <w:lang w:eastAsia="en-GB"/>
              </w:rPr>
            </w:pPr>
            <w:r w:rsidRPr="00881268">
              <w:rPr>
                <w:b/>
                <w:bCs/>
                <w:color w:val="FF0000"/>
                <w:lang w:eastAsia="en-GB"/>
              </w:rPr>
              <w:t>11</w:t>
            </w:r>
          </w:p>
        </w:tc>
      </w:tr>
    </w:tbl>
    <w:p w14:paraId="751032C5" w14:textId="77777777" w:rsidR="009E7951" w:rsidRPr="009E7951" w:rsidRDefault="009E7951" w:rsidP="009E7951">
      <w:pPr>
        <w:rPr>
          <w:lang w:eastAsia="en-GB"/>
        </w:rPr>
      </w:pPr>
    </w:p>
    <w:p w14:paraId="65615C85" w14:textId="25E1C61F" w:rsidR="00F6309E" w:rsidRDefault="007F30E1" w:rsidP="00DB5558">
      <w:r>
        <w:fldChar w:fldCharType="begin"/>
      </w:r>
      <w:r>
        <w:instrText xml:space="preserve"> REF _Ref165982963 \h </w:instrText>
      </w:r>
      <w:r>
        <w:fldChar w:fldCharType="separate"/>
      </w:r>
      <w:r w:rsidR="00560801">
        <w:t xml:space="preserve">Figure </w:t>
      </w:r>
      <w:r w:rsidR="00560801">
        <w:rPr>
          <w:noProof/>
        </w:rPr>
        <w:t>3</w:t>
      </w:r>
      <w:r>
        <w:fldChar w:fldCharType="end"/>
      </w:r>
      <w:r>
        <w:t xml:space="preserve"> illustrates the difference in cell coverage resulting from a 6 dB and 12 dB difference in detection sensitivity for free space propagation. </w:t>
      </w:r>
      <w:r w:rsidR="00721DA5">
        <w:t xml:space="preserve">A 6 dB difference amounts to a difference in cell coverage of four times whereas a 12 dB difference amounts to a difference of sixteen times. </w:t>
      </w:r>
      <w:r w:rsidR="00887256">
        <w:t>These</w:t>
      </w:r>
      <w:r w:rsidR="00721DA5">
        <w:t xml:space="preserve"> </w:t>
      </w:r>
      <w:r w:rsidR="00D20F0B">
        <w:t xml:space="preserve">large </w:t>
      </w:r>
      <w:r w:rsidR="00721DA5">
        <w:t>differences make any cell planning all but impossible</w:t>
      </w:r>
      <w:r w:rsidR="00D20F0B">
        <w:t xml:space="preserve"> and may cause severe PRACH CLI</w:t>
      </w:r>
      <w:r w:rsidR="00935CDC">
        <w:t xml:space="preserve"> in gNBs with shared PRACH resources</w:t>
      </w:r>
      <w:r w:rsidR="00721DA5">
        <w:t>.</w:t>
      </w:r>
    </w:p>
    <w:p w14:paraId="331F0C83" w14:textId="1176DC57" w:rsidR="00887256" w:rsidRPr="00887256" w:rsidRDefault="00887256" w:rsidP="00887256">
      <w:pPr>
        <w:pStyle w:val="Observation"/>
      </w:pPr>
      <w:bookmarkStart w:id="55" w:name="_Toc166256772"/>
      <w:r>
        <w:t>SBFD symbols differ to UL symbols in that network load will significantly affect PRACH performance, and, consequently, cell coverage if applied in RRC_IDLE.</w:t>
      </w:r>
      <w:bookmarkEnd w:id="55"/>
    </w:p>
    <w:p w14:paraId="2343D7D8" w14:textId="40702321" w:rsidR="00F6309E" w:rsidRDefault="00F6309E" w:rsidP="00E248AD">
      <w:pPr>
        <w:keepNext/>
        <w:jc w:val="center"/>
      </w:pPr>
      <w:r>
        <w:object w:dxaOrig="8851" w:dyaOrig="2581" w14:anchorId="76260627">
          <v:shape id="_x0000_i1026" type="#_x0000_t75" style="width:442.35pt;height:129pt" o:ole="">
            <v:imagedata r:id="rId15" o:title=""/>
          </v:shape>
          <o:OLEObject Type="Embed" ProgID="Visio.Drawing.15" ShapeID="_x0000_i1026" DrawAspect="Content" ObjectID="_1776871628" r:id="rId16"/>
        </w:object>
      </w:r>
    </w:p>
    <w:p w14:paraId="0E6F76AD" w14:textId="1F3B2A8E" w:rsidR="001E79AE" w:rsidRDefault="00F6309E" w:rsidP="00215C1B">
      <w:pPr>
        <w:pStyle w:val="Caption"/>
      </w:pPr>
      <w:bookmarkStart w:id="56" w:name="_Ref165982963"/>
      <w:r>
        <w:t xml:space="preserve">Figure </w:t>
      </w:r>
      <w:r w:rsidR="0029302E">
        <w:fldChar w:fldCharType="begin"/>
      </w:r>
      <w:r w:rsidR="0029302E">
        <w:instrText xml:space="preserve"> SEQ Figure \* ARABIC </w:instrText>
      </w:r>
      <w:r w:rsidR="0029302E">
        <w:fldChar w:fldCharType="separate"/>
      </w:r>
      <w:r w:rsidR="00560801">
        <w:rPr>
          <w:noProof/>
        </w:rPr>
        <w:t>3</w:t>
      </w:r>
      <w:r w:rsidR="0029302E">
        <w:rPr>
          <w:noProof/>
        </w:rPr>
        <w:fldChar w:fldCharType="end"/>
      </w:r>
      <w:bookmarkEnd w:id="56"/>
      <w:r>
        <w:t xml:space="preserve">: Effect on cell </w:t>
      </w:r>
      <w:r w:rsidR="00561197">
        <w:t>coverage</w:t>
      </w:r>
      <w:r>
        <w:t xml:space="preserve"> depending on </w:t>
      </w:r>
      <w:r w:rsidR="001459D3">
        <w:t xml:space="preserve">different </w:t>
      </w:r>
      <w:r>
        <w:rPr>
          <w:noProof/>
        </w:rPr>
        <w:t>PRACH reception sensitivity.</w:t>
      </w:r>
      <w:r w:rsidR="00BF6642">
        <w:rPr>
          <w:noProof/>
        </w:rPr>
        <w:t xml:space="preserve"> A 6dB difference may result in up to x4 cell area coverage difference and a 12 dB difference may amount to a difference in cell coverage of x16.</w:t>
      </w:r>
    </w:p>
    <w:p w14:paraId="78220A80" w14:textId="39A34019" w:rsidR="004C63CE" w:rsidRDefault="004C63CE" w:rsidP="00DB5558">
      <w:r>
        <w:t>In RAN1 #116-bis, some companies expressed worries that ROs mixing SBFD symbols and UL symbols would inflict requirements on UEs. Since the above detection use non-coherent combining between SBFD and UL symbols, there is no phase coherency requirement on the UE.</w:t>
      </w:r>
      <w:r w:rsidR="000C514E">
        <w:t xml:space="preserve"> In fact, the above simulations were performed with a random phase between the two segments</w:t>
      </w:r>
      <w:r>
        <w:t xml:space="preserve"> Furthermore, unless RAN1 decides otherwise, the same frequency resources will be used for both segments, since that is legacy </w:t>
      </w:r>
      <w:proofErr w:type="spellStart"/>
      <w:r>
        <w:t>behavior</w:t>
      </w:r>
      <w:proofErr w:type="spellEnd"/>
      <w:r>
        <w:t xml:space="preserve">. Finally, unless RAN1 agrees differently, the same transmit powers </w:t>
      </w:r>
      <w:r w:rsidR="003A621B">
        <w:t xml:space="preserve">would </w:t>
      </w:r>
      <w:r>
        <w:t>be used for the two segments</w:t>
      </w:r>
      <w:r w:rsidR="003A621B">
        <w:t xml:space="preserve">, further simplifying UE </w:t>
      </w:r>
      <w:proofErr w:type="spellStart"/>
      <w:r w:rsidR="003A621B">
        <w:t>behavior</w:t>
      </w:r>
      <w:proofErr w:type="spellEnd"/>
      <w:r w:rsidR="003A621B">
        <w:t>.</w:t>
      </w:r>
    </w:p>
    <w:p w14:paraId="6C5A9560" w14:textId="4378BA0A" w:rsidR="0038458D" w:rsidRDefault="0038458D" w:rsidP="00DB5558">
      <w:r>
        <w:t xml:space="preserve">The above discussion leads us to the </w:t>
      </w:r>
      <w:r w:rsidR="00A322E4">
        <w:t>question on whether RA in RRC_IDLE/INACTIVE should be supported for SBFD. As we have shown above, key network performance parameters would be severely dependent on network load and interference, making cell planning all but impossible. It is our view that it would be irresponsible to support RRC_IDLE/INACTIVE operation under such conditions. However, if RAN1 can agree to use ROs resulting in consistent and predictable PRACH detection performance, we have no problems supporting RA in RRC_IDLE/INACTIVE. For that reason, we propose the following:</w:t>
      </w:r>
    </w:p>
    <w:p w14:paraId="5D35D7F4" w14:textId="6E9A79EE" w:rsidR="001E79AE" w:rsidRDefault="001E79AE" w:rsidP="00DB5558">
      <w:pPr>
        <w:pStyle w:val="Proposal"/>
        <w:rPr>
          <w:lang w:val="en-US"/>
        </w:rPr>
      </w:pPr>
      <w:bookmarkStart w:id="57" w:name="_Toc166256789"/>
      <w:r w:rsidRPr="001E79AE">
        <w:rPr>
          <w:lang w:val="en-US"/>
        </w:rPr>
        <w:t>Support SBFD R</w:t>
      </w:r>
      <w:r>
        <w:rPr>
          <w:lang w:val="en-US"/>
        </w:rPr>
        <w:t>O</w:t>
      </w:r>
      <w:r w:rsidRPr="001E79AE">
        <w:rPr>
          <w:lang w:val="en-US"/>
        </w:rPr>
        <w:t>s spanning both</w:t>
      </w:r>
      <w:r>
        <w:rPr>
          <w:lang w:val="en-US"/>
        </w:rPr>
        <w:t xml:space="preserve"> SBFD symbols and UL/F symbols with the following conditions:</w:t>
      </w:r>
      <w:bookmarkEnd w:id="57"/>
    </w:p>
    <w:p w14:paraId="4B6E9809" w14:textId="2352EF5B" w:rsidR="001E79AE" w:rsidRDefault="001E79AE" w:rsidP="00DB5558">
      <w:pPr>
        <w:pStyle w:val="Proposal"/>
        <w:numPr>
          <w:ilvl w:val="1"/>
          <w:numId w:val="3"/>
        </w:numPr>
        <w:rPr>
          <w:lang w:val="en-US"/>
        </w:rPr>
      </w:pPr>
      <w:bookmarkStart w:id="58" w:name="_Toc166256790"/>
      <w:r>
        <w:rPr>
          <w:lang w:val="en-US"/>
        </w:rPr>
        <w:t>The same frequency resources are used for both the SBFD segment and UL/F segment of the PRACH.</w:t>
      </w:r>
      <w:bookmarkEnd w:id="58"/>
    </w:p>
    <w:p w14:paraId="24B9766D" w14:textId="24F474D6" w:rsidR="001E79AE" w:rsidRDefault="001E79AE" w:rsidP="00DB5558">
      <w:pPr>
        <w:pStyle w:val="Proposal"/>
        <w:numPr>
          <w:ilvl w:val="1"/>
          <w:numId w:val="3"/>
        </w:numPr>
        <w:rPr>
          <w:lang w:val="en-US"/>
        </w:rPr>
      </w:pPr>
      <w:bookmarkStart w:id="59" w:name="_Toc166256791"/>
      <w:r>
        <w:rPr>
          <w:lang w:val="en-US"/>
        </w:rPr>
        <w:t xml:space="preserve">The same </w:t>
      </w:r>
      <w:r w:rsidR="00634688">
        <w:rPr>
          <w:lang w:val="en-US"/>
        </w:rPr>
        <w:t xml:space="preserve">transmit </w:t>
      </w:r>
      <w:r>
        <w:rPr>
          <w:lang w:val="en-US"/>
        </w:rPr>
        <w:t xml:space="preserve">power </w:t>
      </w:r>
      <w:r w:rsidR="00634688">
        <w:rPr>
          <w:lang w:val="en-US"/>
        </w:rPr>
        <w:t>is</w:t>
      </w:r>
      <w:r>
        <w:rPr>
          <w:lang w:val="en-US"/>
        </w:rPr>
        <w:t xml:space="preserve"> used for both the SBFD and UL/F segments of the PRACH.</w:t>
      </w:r>
      <w:bookmarkEnd w:id="59"/>
    </w:p>
    <w:p w14:paraId="11AD2645" w14:textId="49CB9D00" w:rsidR="001E79AE" w:rsidRDefault="001E79AE" w:rsidP="00DB5558">
      <w:pPr>
        <w:pStyle w:val="Proposal"/>
        <w:numPr>
          <w:ilvl w:val="1"/>
          <w:numId w:val="3"/>
        </w:numPr>
        <w:rPr>
          <w:lang w:val="en-US"/>
        </w:rPr>
      </w:pPr>
      <w:bookmarkStart w:id="60" w:name="_Toc166256792"/>
      <w:r>
        <w:rPr>
          <w:lang w:val="en-US"/>
        </w:rPr>
        <w:t>There are no phase coherency requirements on the UE between the SBFD and UL/F segments of the PRACH.</w:t>
      </w:r>
      <w:bookmarkEnd w:id="60"/>
    </w:p>
    <w:p w14:paraId="0C53A7F8" w14:textId="5698EAA1" w:rsidR="001C5CB0" w:rsidRPr="001C5CB0" w:rsidRDefault="003F686D" w:rsidP="001C5CB0">
      <w:pPr>
        <w:pStyle w:val="Proposal"/>
        <w:rPr>
          <w:lang w:val="en-US"/>
        </w:rPr>
      </w:pPr>
      <w:bookmarkStart w:id="61" w:name="_Toc166256793"/>
      <w:r>
        <w:rPr>
          <w:lang w:val="en-US"/>
        </w:rPr>
        <w:t xml:space="preserve">Support RRC_IDLE/INACTIVE </w:t>
      </w:r>
      <w:r w:rsidR="00717F07">
        <w:rPr>
          <w:lang w:val="en-US"/>
        </w:rPr>
        <w:t>provided</w:t>
      </w:r>
      <w:r>
        <w:rPr>
          <w:lang w:val="en-US"/>
        </w:rPr>
        <w:t xml:space="preserve"> </w:t>
      </w:r>
      <w:r w:rsidR="007B77B0">
        <w:rPr>
          <w:lang w:val="en-US"/>
        </w:rPr>
        <w:t xml:space="preserve">consistent and </w:t>
      </w:r>
      <w:r w:rsidR="00717F07">
        <w:rPr>
          <w:lang w:val="en-US"/>
        </w:rPr>
        <w:t>predictable</w:t>
      </w:r>
      <w:r>
        <w:rPr>
          <w:lang w:val="en-US"/>
        </w:rPr>
        <w:t xml:space="preserve"> </w:t>
      </w:r>
      <w:r w:rsidR="00717F07">
        <w:rPr>
          <w:lang w:val="en-US"/>
        </w:rPr>
        <w:t>PRACH detection performance</w:t>
      </w:r>
      <w:r>
        <w:rPr>
          <w:lang w:val="en-US"/>
        </w:rPr>
        <w:t xml:space="preserve"> </w:t>
      </w:r>
      <w:r w:rsidR="00C56093">
        <w:rPr>
          <w:lang w:val="en-US"/>
        </w:rPr>
        <w:t xml:space="preserve">can </w:t>
      </w:r>
      <w:r>
        <w:rPr>
          <w:lang w:val="en-US"/>
        </w:rPr>
        <w:t>be achieved</w:t>
      </w:r>
      <w:r w:rsidR="00717F07">
        <w:rPr>
          <w:lang w:val="en-US"/>
        </w:rPr>
        <w:t>.</w:t>
      </w:r>
      <w:bookmarkEnd w:id="61"/>
    </w:p>
    <w:p w14:paraId="0D37DE15" w14:textId="77777777" w:rsidR="001C5CB0" w:rsidRDefault="001C5CB0" w:rsidP="001C5CB0">
      <w:pPr>
        <w:pStyle w:val="Heading3"/>
      </w:pPr>
      <w:r>
        <w:lastRenderedPageBreak/>
        <w:t>Network identification of SBFD UEs</w:t>
      </w:r>
    </w:p>
    <w:p w14:paraId="334F7344" w14:textId="2D1F1F14" w:rsidR="001C5CB0" w:rsidRDefault="001C5CB0" w:rsidP="001C5CB0">
      <w:r>
        <w:t xml:space="preserve">One issue associated with RRC_IDLE operation is </w:t>
      </w:r>
      <w:r w:rsidRPr="008F3104">
        <w:t xml:space="preserve">whether and how the </w:t>
      </w:r>
      <w:r>
        <w:t xml:space="preserve">network identifies the </w:t>
      </w:r>
      <w:r w:rsidRPr="008F3104">
        <w:t>UE as a</w:t>
      </w:r>
      <w:r>
        <w:t>n</w:t>
      </w:r>
      <w:r w:rsidRPr="008F3104">
        <w:t xml:space="preserve"> SBFD capable UE.</w:t>
      </w:r>
      <w:r>
        <w:t xml:space="preserve"> For the sake of argument, we assume that IDLE mode SBFD RACH is supported since otherwise the network will know from capability </w:t>
      </w:r>
      <w:proofErr w:type="spellStart"/>
      <w:r>
        <w:t>signaling</w:t>
      </w:r>
      <w:proofErr w:type="spellEnd"/>
      <w:r>
        <w:t xml:space="preserve">. Consequently, the need for identifying an SBFD capable UE prior to capability </w:t>
      </w:r>
      <w:proofErr w:type="spellStart"/>
      <w:r>
        <w:t>signaling</w:t>
      </w:r>
      <w:proofErr w:type="spellEnd"/>
      <w:r>
        <w:t xml:space="preserve"> is only relevant to leverage Msg2,3,4 by using SBFD resources. As presented earlier in this contribution, the need for that is not apparent to us and should first be agreed.</w:t>
      </w:r>
    </w:p>
    <w:p w14:paraId="0A05D4EB" w14:textId="77777777" w:rsidR="001C5CB0" w:rsidRDefault="001C5CB0" w:rsidP="00887256">
      <w:pPr>
        <w:pStyle w:val="Observation"/>
      </w:pPr>
      <w:bookmarkStart w:id="62" w:name="_Toc163239642"/>
      <w:bookmarkStart w:id="63" w:name="_Toc166256773"/>
      <w:r>
        <w:t>Identifying SBFD capable</w:t>
      </w:r>
      <w:r w:rsidRPr="00887256">
        <w:t xml:space="preserve"> UEs before</w:t>
      </w:r>
      <w:r>
        <w:t xml:space="preserve"> capability </w:t>
      </w:r>
      <w:proofErr w:type="spellStart"/>
      <w:r>
        <w:t>signaling</w:t>
      </w:r>
      <w:proofErr w:type="spellEnd"/>
      <w:r>
        <w:t xml:space="preserve"> is only needed for leveraging Msg2,3,4 by use of SBFD resources.</w:t>
      </w:r>
      <w:bookmarkEnd w:id="62"/>
      <w:bookmarkEnd w:id="63"/>
    </w:p>
    <w:p w14:paraId="1CC5ED5A" w14:textId="77777777" w:rsidR="001C5CB0" w:rsidRDefault="001C5CB0" w:rsidP="001C5CB0">
      <w:r>
        <w:t>Still, assuming that early identification is anyway beneficial, one proposal that has been presented is to use preamble partitioning to differentiate legacy UEs from SBFD capable UEs. In our view, this is an undesirable solution for the simple reason that preamble partitioning is already over utilized and RACH risks decreased performance should additional use be introduced.</w:t>
      </w:r>
    </w:p>
    <w:p w14:paraId="702F4F16" w14:textId="77777777" w:rsidR="001C5CB0" w:rsidRDefault="001C5CB0" w:rsidP="00887256">
      <w:pPr>
        <w:pStyle w:val="Observation"/>
      </w:pPr>
      <w:bookmarkStart w:id="64" w:name="_Toc163239643"/>
      <w:bookmarkStart w:id="65" w:name="_Toc166256774"/>
      <w:r>
        <w:t>PRACH preamble partitioning is already over utilized and should not be used for SBFD capability identification.</w:t>
      </w:r>
      <w:bookmarkEnd w:id="64"/>
      <w:bookmarkEnd w:id="65"/>
    </w:p>
    <w:p w14:paraId="61FA0470" w14:textId="77777777" w:rsidR="001C5CB0" w:rsidRDefault="001C5CB0" w:rsidP="001C5CB0">
      <w:r>
        <w:t>Depending on network configuration and deployment, forcing SBFD capable UEs to exclusively use SBFD ROs could be a feasible solution. One objection to that, however, would be that this may not be suitable for all configurations or deployments.</w:t>
      </w:r>
    </w:p>
    <w:p w14:paraId="4F8929DB" w14:textId="77777777" w:rsidR="001C5CB0" w:rsidRDefault="001C5CB0" w:rsidP="001C5CB0">
      <w:r>
        <w:t xml:space="preserve">Another alternative is that UEs adhere to either legacy RACH or SBFD RACH, depending on whether a SBFD RO or legacy RO is selected for the preamble. That is, a SBFD capable UE transmitting the preamble in a legacy RO will assume legacy operation also for Msg,2,3,4. If the network has a need to steer SBFD capable UEs to only use SBFD ROs, this can be solved through configuration of the SBFD PRACH, forcing the UE to a specific </w:t>
      </w:r>
      <w:proofErr w:type="spellStart"/>
      <w:r>
        <w:t>behavior</w:t>
      </w:r>
      <w:proofErr w:type="spellEnd"/>
      <w:r>
        <w:t>.</w:t>
      </w:r>
    </w:p>
    <w:p w14:paraId="6A6C0D34" w14:textId="22893AD2" w:rsidR="001C5CB0" w:rsidRPr="001848A7" w:rsidRDefault="001C5CB0" w:rsidP="001848A7">
      <w:pPr>
        <w:pStyle w:val="Proposal"/>
      </w:pPr>
      <w:bookmarkStart w:id="66" w:name="_Toc163239670"/>
      <w:bookmarkStart w:id="67" w:name="_Toc166256794"/>
      <w:r w:rsidRPr="001848A7">
        <w:t xml:space="preserve">The selected PRACH RO (SBFD or legacy) determines </w:t>
      </w:r>
      <w:r w:rsidR="001848A7">
        <w:t xml:space="preserve">whether the UE follows the legacy or an SBFD-specific </w:t>
      </w:r>
      <w:r w:rsidRPr="001848A7">
        <w:t>RACH procedure</w:t>
      </w:r>
      <w:r w:rsidR="001848A7">
        <w:t xml:space="preserve"> for</w:t>
      </w:r>
      <w:r w:rsidR="00E748C5" w:rsidRPr="001848A7">
        <w:t xml:space="preserve"> Msg2, 3</w:t>
      </w:r>
      <w:r w:rsidR="001848A7">
        <w:t xml:space="preserve">, </w:t>
      </w:r>
      <w:r w:rsidR="00E748C5" w:rsidRPr="001848A7">
        <w:t>4</w:t>
      </w:r>
      <w:r w:rsidRPr="001848A7">
        <w:t>.</w:t>
      </w:r>
      <w:bookmarkEnd w:id="66"/>
      <w:bookmarkEnd w:id="67"/>
    </w:p>
    <w:p w14:paraId="37EB5693" w14:textId="77777777" w:rsidR="00C01F33" w:rsidRPr="00CE0424" w:rsidRDefault="00C01F33" w:rsidP="00CE0424">
      <w:pPr>
        <w:pStyle w:val="Heading1"/>
      </w:pPr>
      <w:r w:rsidRPr="00CE0424">
        <w:t>Conclusion</w:t>
      </w:r>
    </w:p>
    <w:p w14:paraId="5A650F21" w14:textId="77777777" w:rsidR="008E065E" w:rsidRDefault="008E065E" w:rsidP="00560801">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07BCFEF" w14:textId="34D434D4" w:rsidR="00560801" w:rsidRDefault="006F6582"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r>
        <w:rPr>
          <w:bCs/>
        </w:rPr>
        <w:fldChar w:fldCharType="begin"/>
      </w:r>
      <w:r>
        <w:rPr>
          <w:bCs/>
        </w:rPr>
        <w:instrText xml:space="preserve"> TOC \f O \n \h \z \t "Observation" \c </w:instrText>
      </w:r>
      <w:r>
        <w:rPr>
          <w:bCs/>
        </w:rPr>
        <w:fldChar w:fldCharType="separate"/>
      </w:r>
      <w:hyperlink w:anchor="_Toc166256767" w:history="1">
        <w:r w:rsidR="00560801" w:rsidRPr="00545E6B">
          <w:rPr>
            <w:rStyle w:val="Hyperlink"/>
            <w:noProof/>
          </w:rPr>
          <w:t>Observation 1</w:t>
        </w:r>
        <w:r w:rsidR="00560801">
          <w:rPr>
            <w:rFonts w:asciiTheme="minorHAnsi" w:eastAsiaTheme="minorEastAsia" w:hAnsiTheme="minorHAnsi"/>
            <w:b w:val="0"/>
            <w:noProof/>
            <w:kern w:val="2"/>
            <w:sz w:val="22"/>
            <w:szCs w:val="22"/>
            <w:lang w:val="en-SE" w:eastAsia="en-SE"/>
            <w14:ligatures w14:val="standardContextual"/>
          </w:rPr>
          <w:tab/>
        </w:r>
        <w:r w:rsidR="00560801" w:rsidRPr="00545E6B">
          <w:rPr>
            <w:rStyle w:val="Hyperlink"/>
            <w:noProof/>
          </w:rPr>
          <w:t>Allowing repetitions among legacy and SBFD ROs will require the gNB to handle multiple hypotheses on which ROs are used for repetitions, complicate different power control schemes between legacy and SBFD ROs and may introduce ambiguity in the identification of an SBFD capable UE.</w:t>
        </w:r>
      </w:hyperlink>
    </w:p>
    <w:p w14:paraId="08E4EFA6" w14:textId="0B92B4D4"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68" w:history="1">
        <w:r w:rsidR="00560801" w:rsidRPr="00545E6B">
          <w:rPr>
            <w:rStyle w:val="Hyperlink"/>
            <w:noProof/>
          </w:rPr>
          <w:t>Observation 2</w:t>
        </w:r>
        <w:r w:rsidR="00560801">
          <w:rPr>
            <w:rFonts w:asciiTheme="minorHAnsi" w:eastAsiaTheme="minorEastAsia" w:hAnsiTheme="minorHAnsi"/>
            <w:b w:val="0"/>
            <w:noProof/>
            <w:kern w:val="2"/>
            <w:sz w:val="22"/>
            <w:szCs w:val="22"/>
            <w:lang w:val="en-SE" w:eastAsia="en-SE"/>
            <w14:ligatures w14:val="standardContextual"/>
          </w:rPr>
          <w:tab/>
        </w:r>
        <w:r w:rsidR="00560801" w:rsidRPr="00545E6B">
          <w:rPr>
            <w:rStyle w:val="Hyperlink"/>
            <w:noProof/>
          </w:rPr>
          <w:t>Even if the network supports SBFD, the additional overhead associated with the introduction of more ROs should not be mandated.</w:t>
        </w:r>
      </w:hyperlink>
    </w:p>
    <w:p w14:paraId="51CA7564" w14:textId="45333F0F"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69" w:history="1">
        <w:r w:rsidR="00560801" w:rsidRPr="00545E6B">
          <w:rPr>
            <w:rStyle w:val="Hyperlink"/>
            <w:noProof/>
          </w:rPr>
          <w:t>Observation 3</w:t>
        </w:r>
        <w:r w:rsidR="00560801">
          <w:rPr>
            <w:rFonts w:asciiTheme="minorHAnsi" w:eastAsiaTheme="minorEastAsia" w:hAnsiTheme="minorHAnsi"/>
            <w:b w:val="0"/>
            <w:noProof/>
            <w:kern w:val="2"/>
            <w:sz w:val="22"/>
            <w:szCs w:val="22"/>
            <w:lang w:val="en-SE" w:eastAsia="en-SE"/>
            <w14:ligatures w14:val="standardContextual"/>
          </w:rPr>
          <w:tab/>
        </w:r>
        <w:r w:rsidR="00560801" w:rsidRPr="00545E6B">
          <w:rPr>
            <w:rStyle w:val="Hyperlink"/>
            <w:noProof/>
          </w:rPr>
          <w:t>For a UE in RRC_IDLE there is no alternative to PRACH to connect to the network. Consistent and predictable PRACH performance is hence fundamental to network operation and planning.</w:t>
        </w:r>
      </w:hyperlink>
    </w:p>
    <w:p w14:paraId="5F065F1C" w14:textId="571DEAAB"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70" w:history="1">
        <w:r w:rsidR="00560801" w:rsidRPr="00545E6B">
          <w:rPr>
            <w:rStyle w:val="Hyperlink"/>
            <w:noProof/>
          </w:rPr>
          <w:t>Observation 4</w:t>
        </w:r>
        <w:r w:rsidR="00560801">
          <w:rPr>
            <w:rFonts w:asciiTheme="minorHAnsi" w:eastAsiaTheme="minorEastAsia" w:hAnsiTheme="minorHAnsi"/>
            <w:b w:val="0"/>
            <w:noProof/>
            <w:kern w:val="2"/>
            <w:sz w:val="22"/>
            <w:szCs w:val="22"/>
            <w:lang w:val="en-SE" w:eastAsia="en-SE"/>
            <w14:ligatures w14:val="standardContextual"/>
          </w:rPr>
          <w:tab/>
        </w:r>
        <w:r w:rsidR="00560801" w:rsidRPr="00545E6B">
          <w:rPr>
            <w:rStyle w:val="Hyperlink"/>
            <w:noProof/>
          </w:rPr>
          <w:t>Detection sensitivity is substantially higher for ROs composed of SBFD and UL symbols using MRC-like non-coherent combining, compared to ROs composed of only SBFD symbols.</w:t>
        </w:r>
      </w:hyperlink>
    </w:p>
    <w:p w14:paraId="127B9096" w14:textId="426E665F"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71" w:history="1">
        <w:r w:rsidR="00560801" w:rsidRPr="00545E6B">
          <w:rPr>
            <w:rStyle w:val="Hyperlink"/>
            <w:noProof/>
            <w:lang w:eastAsia="en-GB"/>
          </w:rPr>
          <w:t>Observation 5</w:t>
        </w:r>
        <w:r w:rsidR="00560801">
          <w:rPr>
            <w:rFonts w:asciiTheme="minorHAnsi" w:eastAsiaTheme="minorEastAsia" w:hAnsiTheme="minorHAnsi"/>
            <w:b w:val="0"/>
            <w:noProof/>
            <w:kern w:val="2"/>
            <w:sz w:val="22"/>
            <w:szCs w:val="22"/>
            <w:lang w:val="en-SE" w:eastAsia="en-SE"/>
            <w14:ligatures w14:val="standardContextual"/>
          </w:rPr>
          <w:tab/>
        </w:r>
        <w:r w:rsidR="00560801" w:rsidRPr="00545E6B">
          <w:rPr>
            <w:rStyle w:val="Hyperlink"/>
            <w:noProof/>
            <w:lang w:eastAsia="en-GB"/>
          </w:rPr>
          <w:t>Detection performance, and thereby cell coverage, in ROs composed of SBFD and UL symbols using MRC-like non-coherent combining has a much weaker dependency on network load compared to ROs composed of only SBFD symbols.</w:t>
        </w:r>
      </w:hyperlink>
    </w:p>
    <w:p w14:paraId="2966950C" w14:textId="3F172C83"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72" w:history="1">
        <w:r w:rsidR="00560801" w:rsidRPr="00545E6B">
          <w:rPr>
            <w:rStyle w:val="Hyperlink"/>
            <w:noProof/>
          </w:rPr>
          <w:t>Observation 6</w:t>
        </w:r>
        <w:r w:rsidR="00560801">
          <w:rPr>
            <w:rFonts w:asciiTheme="minorHAnsi" w:eastAsiaTheme="minorEastAsia" w:hAnsiTheme="minorHAnsi"/>
            <w:b w:val="0"/>
            <w:noProof/>
            <w:kern w:val="2"/>
            <w:sz w:val="22"/>
            <w:szCs w:val="22"/>
            <w:lang w:val="en-SE" w:eastAsia="en-SE"/>
            <w14:ligatures w14:val="standardContextual"/>
          </w:rPr>
          <w:tab/>
        </w:r>
        <w:r w:rsidR="00560801" w:rsidRPr="00545E6B">
          <w:rPr>
            <w:rStyle w:val="Hyperlink"/>
            <w:noProof/>
          </w:rPr>
          <w:t>SBFD symbols differ to UL symbols in that network load will significantly affect PRACH performance, and, consequently, cell coverage if applied in RRC_IDLE.</w:t>
        </w:r>
      </w:hyperlink>
    </w:p>
    <w:p w14:paraId="5F70BCEE" w14:textId="3FE533A0"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73" w:history="1">
        <w:r w:rsidR="00560801" w:rsidRPr="00545E6B">
          <w:rPr>
            <w:rStyle w:val="Hyperlink"/>
            <w:noProof/>
          </w:rPr>
          <w:t>Observation 7</w:t>
        </w:r>
        <w:r w:rsidR="00560801">
          <w:rPr>
            <w:rFonts w:asciiTheme="minorHAnsi" w:eastAsiaTheme="minorEastAsia" w:hAnsiTheme="minorHAnsi"/>
            <w:b w:val="0"/>
            <w:noProof/>
            <w:kern w:val="2"/>
            <w:sz w:val="22"/>
            <w:szCs w:val="22"/>
            <w:lang w:val="en-SE" w:eastAsia="en-SE"/>
            <w14:ligatures w14:val="standardContextual"/>
          </w:rPr>
          <w:tab/>
        </w:r>
        <w:r w:rsidR="00560801" w:rsidRPr="00545E6B">
          <w:rPr>
            <w:rStyle w:val="Hyperlink"/>
            <w:noProof/>
          </w:rPr>
          <w:t>Identifying SBFD capable UEs before capability signaling is only needed for leveraging Msg2,3,4 by use of SBFD resources.</w:t>
        </w:r>
      </w:hyperlink>
    </w:p>
    <w:p w14:paraId="030CF2EC" w14:textId="5E32BF62"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74" w:history="1">
        <w:r w:rsidR="00560801" w:rsidRPr="00545E6B">
          <w:rPr>
            <w:rStyle w:val="Hyperlink"/>
            <w:noProof/>
          </w:rPr>
          <w:t>Observation 8</w:t>
        </w:r>
        <w:r w:rsidR="00560801">
          <w:rPr>
            <w:rFonts w:asciiTheme="minorHAnsi" w:eastAsiaTheme="minorEastAsia" w:hAnsiTheme="minorHAnsi"/>
            <w:b w:val="0"/>
            <w:noProof/>
            <w:kern w:val="2"/>
            <w:sz w:val="22"/>
            <w:szCs w:val="22"/>
            <w:lang w:val="en-SE" w:eastAsia="en-SE"/>
            <w14:ligatures w14:val="standardContextual"/>
          </w:rPr>
          <w:tab/>
        </w:r>
        <w:r w:rsidR="00560801" w:rsidRPr="00545E6B">
          <w:rPr>
            <w:rStyle w:val="Hyperlink"/>
            <w:noProof/>
          </w:rPr>
          <w:t>PRACH preamble partitioning is already over utilized and should not be used for SBFD capability identification.</w:t>
        </w:r>
      </w:hyperlink>
    </w:p>
    <w:p w14:paraId="7D91EC5D" w14:textId="22CFEFE6" w:rsidR="006E1C82" w:rsidRDefault="006F6582" w:rsidP="00560801">
      <w:pPr>
        <w:pStyle w:val="BodyText"/>
      </w:pPr>
      <w:r>
        <w:fldChar w:fldCharType="end"/>
      </w:r>
    </w:p>
    <w:p w14:paraId="6225A1B8" w14:textId="77777777" w:rsidR="006E1C82" w:rsidRDefault="008E065E" w:rsidP="00560801">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C8F328C" w14:textId="77777777" w:rsidR="00560801" w:rsidRDefault="006E1C82"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r>
        <w:rPr>
          <w:bCs/>
        </w:rPr>
        <w:fldChar w:fldCharType="begin"/>
      </w:r>
      <w:r>
        <w:rPr>
          <w:bCs/>
        </w:rPr>
        <w:instrText xml:space="preserve"> TOC \n \h \z \t "Proposal" \c </w:instrText>
      </w:r>
      <w:r>
        <w:rPr>
          <w:bCs/>
        </w:rPr>
        <w:fldChar w:fldCharType="separate"/>
      </w:r>
      <w:hyperlink w:anchor="_Toc166256775" w:history="1">
        <w:r w:rsidR="00560801" w:rsidRPr="00A55195">
          <w:rPr>
            <w:rStyle w:val="Hyperlink"/>
            <w:noProof/>
          </w:rPr>
          <w:t>Proposal 1</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rPr>
          <w:t>Confirm WA on supporting both a single RACH configuration, only based on the existing parameters of the single RACH configuration, and two separate RACH configurations, including one legacy RACH configuration and one additional RACH configuration.</w:t>
        </w:r>
      </w:hyperlink>
    </w:p>
    <w:p w14:paraId="5C930B96"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76" w:history="1">
        <w:r w:rsidR="00560801" w:rsidRPr="00A55195">
          <w:rPr>
            <w:rStyle w:val="Hyperlink"/>
            <w:noProof/>
            <w:lang w:val="x-none"/>
          </w:rPr>
          <w:t>Proposal 2</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rPr>
          <w:t xml:space="preserve">For ROs within SBFD symbols, </w:t>
        </w:r>
        <w:r w:rsidR="00560801" w:rsidRPr="00A55195">
          <w:rPr>
            <w:rStyle w:val="Hyperlink"/>
            <w:i/>
            <w:iCs/>
            <w:noProof/>
          </w:rPr>
          <w:t>msg1-FrequencyStart</w:t>
        </w:r>
        <w:r w:rsidR="00560801" w:rsidRPr="00A55195">
          <w:rPr>
            <w:rStyle w:val="Hyperlink"/>
            <w:noProof/>
          </w:rPr>
          <w:t xml:space="preserve"> indicates the offset of the 1</w:t>
        </w:r>
        <w:r w:rsidR="00560801" w:rsidRPr="00A55195">
          <w:rPr>
            <w:rStyle w:val="Hyperlink"/>
            <w:noProof/>
            <w:vertAlign w:val="superscript"/>
          </w:rPr>
          <w:t>st</w:t>
        </w:r>
        <w:r w:rsidR="00560801" w:rsidRPr="00A55195">
          <w:rPr>
            <w:rStyle w:val="Hyperlink"/>
            <w:noProof/>
          </w:rPr>
          <w:t xml:space="preserve"> RO in relation to the start of the UL subband. The start of the n</w:t>
        </w:r>
        <w:r w:rsidR="00560801" w:rsidRPr="00A55195">
          <w:rPr>
            <w:rStyle w:val="Hyperlink"/>
            <w:noProof/>
            <w:vertAlign w:val="superscript"/>
          </w:rPr>
          <w:t>th</w:t>
        </w:r>
        <w:r w:rsidR="00560801" w:rsidRPr="00A55195">
          <w:rPr>
            <w:rStyle w:val="Hyperlink"/>
            <w:noProof/>
          </w:rPr>
          <w:t xml:space="preserve"> RO is determined by the legacy start of the n</w:t>
        </w:r>
        <w:r w:rsidR="00560801" w:rsidRPr="00A55195">
          <w:rPr>
            <w:rStyle w:val="Hyperlink"/>
            <w:noProof/>
            <w:vertAlign w:val="superscript"/>
          </w:rPr>
          <w:t>th</w:t>
        </w:r>
        <w:r w:rsidR="00560801" w:rsidRPr="00A55195">
          <w:rPr>
            <w:rStyle w:val="Hyperlink"/>
            <w:noProof/>
          </w:rPr>
          <w:t xml:space="preserve"> RO modulus of the UL subband less the RO bandwidth such that all ROs are always comprised within the UL subband.</w:t>
        </w:r>
      </w:hyperlink>
    </w:p>
    <w:p w14:paraId="10305475"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77" w:history="1">
        <w:r w:rsidR="00560801" w:rsidRPr="00A55195">
          <w:rPr>
            <w:rStyle w:val="Hyperlink"/>
            <w:noProof/>
          </w:rPr>
          <w:t>Proposal 3</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rPr>
          <w:t xml:space="preserve">The additional RACH configuration uses the existing PRACH </w:t>
        </w:r>
        <w:r w:rsidR="00560801" w:rsidRPr="00A55195">
          <w:rPr>
            <w:rStyle w:val="Hyperlink"/>
            <w:noProof/>
            <w:lang w:val="en-US"/>
          </w:rPr>
          <w:t>configurations tables for unpaired spectrum for both FR1 and FR2, i.e., Table 6.3.3.2-4 and Table 6.3.3.2-3, respectively (Alt. 1).</w:t>
        </w:r>
      </w:hyperlink>
    </w:p>
    <w:p w14:paraId="2924D39D"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78" w:history="1">
        <w:r w:rsidR="00560801" w:rsidRPr="00A55195">
          <w:rPr>
            <w:rStyle w:val="Hyperlink"/>
            <w:noProof/>
          </w:rPr>
          <w:t>Proposal 4</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rPr>
          <w:t>For the additional RACH configuration, support further RO validation restrictions, e.g., by an RO puncturing bitmap.</w:t>
        </w:r>
      </w:hyperlink>
    </w:p>
    <w:p w14:paraId="04D6EFFA"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79" w:history="1">
        <w:r w:rsidR="00560801" w:rsidRPr="00A55195">
          <w:rPr>
            <w:rStyle w:val="Hyperlink"/>
            <w:noProof/>
          </w:rPr>
          <w:t>Proposal 5</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rPr>
          <w:t>Use a separate SSB-to-RO mapping for the additional RACH configuration (Option 2).</w:t>
        </w:r>
      </w:hyperlink>
    </w:p>
    <w:p w14:paraId="44C0F74D"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80" w:history="1">
        <w:r w:rsidR="00560801" w:rsidRPr="00A55195">
          <w:rPr>
            <w:rStyle w:val="Hyperlink"/>
            <w:noProof/>
          </w:rPr>
          <w:t>Proposal 6</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rPr>
          <w:t xml:space="preserve">For RO validation of the additional RACH configuration, ROs in SBFD symbols are valid and </w:t>
        </w:r>
        <w:r w:rsidR="00560801" w:rsidRPr="00A55195">
          <w:rPr>
            <w:rStyle w:val="Hyperlink"/>
            <w:noProof/>
            <w:lang w:val="en-US"/>
          </w:rPr>
          <w:t>ROs in non-SBFD symbols are invalid for SBFD-aware UEs (Alt. 2-3).</w:t>
        </w:r>
      </w:hyperlink>
    </w:p>
    <w:p w14:paraId="39DC28A1"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81" w:history="1">
        <w:r w:rsidR="00560801" w:rsidRPr="00A55195">
          <w:rPr>
            <w:rStyle w:val="Hyperlink"/>
            <w:noProof/>
          </w:rPr>
          <w:t>Proposal 7</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rPr>
          <w:t>Do not specify an additional msg1-FrequencyStart and instead use the same reinterpretation as for single configuration.</w:t>
        </w:r>
      </w:hyperlink>
    </w:p>
    <w:p w14:paraId="4E0F724B"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82" w:history="1">
        <w:r w:rsidR="00560801" w:rsidRPr="00A55195">
          <w:rPr>
            <w:rStyle w:val="Hyperlink"/>
            <w:noProof/>
          </w:rPr>
          <w:t>Proposal 8</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rPr>
          <w:t>Support separate power control for SBFD ROs for both single and dual RACH configurations.</w:t>
        </w:r>
      </w:hyperlink>
    </w:p>
    <w:p w14:paraId="41A07DDD"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83" w:history="1">
        <w:r w:rsidR="00560801" w:rsidRPr="00A55195">
          <w:rPr>
            <w:rStyle w:val="Hyperlink"/>
            <w:noProof/>
            <w:lang w:val="x-none"/>
          </w:rPr>
          <w:t>Proposal 9</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lang w:val="en-US"/>
          </w:rPr>
          <w:t>Support configuration of prioritization between SBFD and legacy ROs for both single and dual RACH configurations.</w:t>
        </w:r>
      </w:hyperlink>
    </w:p>
    <w:p w14:paraId="4509603A"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84" w:history="1">
        <w:r w:rsidR="00560801" w:rsidRPr="00A55195">
          <w:rPr>
            <w:rStyle w:val="Hyperlink"/>
            <w:noProof/>
          </w:rPr>
          <w:t>Proposal 10</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rPr>
          <w:t>SBFD random access supports PRACH repetitions.</w:t>
        </w:r>
      </w:hyperlink>
    </w:p>
    <w:p w14:paraId="13BD5BDA"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85" w:history="1">
        <w:r w:rsidR="00560801" w:rsidRPr="00A55195">
          <w:rPr>
            <w:rStyle w:val="Hyperlink"/>
            <w:noProof/>
          </w:rPr>
          <w:t>Proposal 11</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rPr>
          <w:t>Repetitions among different RACH configurations is prohibited. Repetitions among SBFD ROs and legacy ROs for the same PRACH preamble format is configurable.</w:t>
        </w:r>
      </w:hyperlink>
    </w:p>
    <w:p w14:paraId="6279784F"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86" w:history="1">
        <w:r w:rsidR="00560801" w:rsidRPr="00A55195">
          <w:rPr>
            <w:rStyle w:val="Hyperlink"/>
            <w:noProof/>
          </w:rPr>
          <w:t>Proposal 12</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rPr>
          <w:t>Network enabling of SBFD RACH is indicated in RRC for the single RACH configuration.</w:t>
        </w:r>
      </w:hyperlink>
    </w:p>
    <w:p w14:paraId="69095ECA"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87" w:history="1">
        <w:r w:rsidR="00560801" w:rsidRPr="00A55195">
          <w:rPr>
            <w:rStyle w:val="Hyperlink"/>
            <w:noProof/>
          </w:rPr>
          <w:t>Proposal 13</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rPr>
          <w:t>RAN1 to discuss the justification of DL/UL subband support for Msg2, 3, 4.</w:t>
        </w:r>
      </w:hyperlink>
    </w:p>
    <w:p w14:paraId="27866166"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88" w:history="1">
        <w:r w:rsidR="00560801" w:rsidRPr="00A55195">
          <w:rPr>
            <w:rStyle w:val="Hyperlink"/>
            <w:noProof/>
          </w:rPr>
          <w:t>Proposal 14</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rPr>
          <w:t>For RACH-specific enhancements of Msg2, 3, 4, await further progress in AI 9.3.1.</w:t>
        </w:r>
      </w:hyperlink>
    </w:p>
    <w:p w14:paraId="69533CC0"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89" w:history="1">
        <w:r w:rsidR="00560801" w:rsidRPr="00A55195">
          <w:rPr>
            <w:rStyle w:val="Hyperlink"/>
            <w:noProof/>
            <w:lang w:val="en-US"/>
          </w:rPr>
          <w:t>Proposal 15</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lang w:val="en-US"/>
          </w:rPr>
          <w:t>Support SBFD ROs spanning both SBFD symbols and UL/F symbols with the following conditions:</w:t>
        </w:r>
      </w:hyperlink>
    </w:p>
    <w:p w14:paraId="394E8285"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90" w:history="1">
        <w:r w:rsidR="00560801" w:rsidRPr="00A55195">
          <w:rPr>
            <w:rStyle w:val="Hyperlink"/>
            <w:noProof/>
            <w:lang w:val="en-US"/>
          </w:rPr>
          <w:t>a.</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lang w:val="en-US"/>
          </w:rPr>
          <w:t>The same frequency resources are used for both the SBFD segment and UL/F segment of the PRACH.</w:t>
        </w:r>
      </w:hyperlink>
    </w:p>
    <w:p w14:paraId="13F1E9F5"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91" w:history="1">
        <w:r w:rsidR="00560801" w:rsidRPr="00A55195">
          <w:rPr>
            <w:rStyle w:val="Hyperlink"/>
            <w:noProof/>
            <w:lang w:val="en-US"/>
          </w:rPr>
          <w:t>b.</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lang w:val="en-US"/>
          </w:rPr>
          <w:t>The same transmit power is used for both the SBFD and UL/F segments of the PRACH.</w:t>
        </w:r>
      </w:hyperlink>
    </w:p>
    <w:p w14:paraId="42A913FA"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92" w:history="1">
        <w:r w:rsidR="00560801" w:rsidRPr="00A55195">
          <w:rPr>
            <w:rStyle w:val="Hyperlink"/>
            <w:noProof/>
            <w:lang w:val="en-US"/>
          </w:rPr>
          <w:t>c.</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lang w:val="en-US"/>
          </w:rPr>
          <w:t>There are no phase coherency requirements on the UE between the SBFD and UL/F segments of the PRACH.</w:t>
        </w:r>
      </w:hyperlink>
    </w:p>
    <w:p w14:paraId="6B702B98"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93" w:history="1">
        <w:r w:rsidR="00560801" w:rsidRPr="00A55195">
          <w:rPr>
            <w:rStyle w:val="Hyperlink"/>
            <w:noProof/>
            <w:lang w:val="en-US"/>
          </w:rPr>
          <w:t>Proposal 16</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lang w:val="en-US"/>
          </w:rPr>
          <w:t>Support RRC_IDLE/INACTIVE provided consistent and predictable PRACH detection performance can be achieved.</w:t>
        </w:r>
      </w:hyperlink>
    </w:p>
    <w:p w14:paraId="494554E3" w14:textId="77777777" w:rsidR="00560801" w:rsidRDefault="0029302E" w:rsidP="00560801">
      <w:pPr>
        <w:pStyle w:val="TableofFigures"/>
        <w:tabs>
          <w:tab w:val="right" w:leader="dot" w:pos="9629"/>
        </w:tabs>
        <w:jc w:val="both"/>
        <w:rPr>
          <w:rFonts w:asciiTheme="minorHAnsi" w:eastAsiaTheme="minorEastAsia" w:hAnsiTheme="minorHAnsi"/>
          <w:b w:val="0"/>
          <w:noProof/>
          <w:kern w:val="2"/>
          <w:sz w:val="22"/>
          <w:szCs w:val="22"/>
          <w:lang w:val="en-SE" w:eastAsia="en-SE"/>
          <w14:ligatures w14:val="standardContextual"/>
        </w:rPr>
      </w:pPr>
      <w:hyperlink w:anchor="_Toc166256794" w:history="1">
        <w:r w:rsidR="00560801" w:rsidRPr="00A55195">
          <w:rPr>
            <w:rStyle w:val="Hyperlink"/>
            <w:noProof/>
          </w:rPr>
          <w:t>Proposal 17</w:t>
        </w:r>
        <w:r w:rsidR="00560801">
          <w:rPr>
            <w:rFonts w:asciiTheme="minorHAnsi" w:eastAsiaTheme="minorEastAsia" w:hAnsiTheme="minorHAnsi"/>
            <w:b w:val="0"/>
            <w:noProof/>
            <w:kern w:val="2"/>
            <w:sz w:val="22"/>
            <w:szCs w:val="22"/>
            <w:lang w:val="en-SE" w:eastAsia="en-SE"/>
            <w14:ligatures w14:val="standardContextual"/>
          </w:rPr>
          <w:tab/>
        </w:r>
        <w:r w:rsidR="00560801" w:rsidRPr="00A55195">
          <w:rPr>
            <w:rStyle w:val="Hyperlink"/>
            <w:noProof/>
          </w:rPr>
          <w:t>The selected PRACH RO (SBFD or legacy) determines whether the UE follows the legacy or an SBFD-specific RACH procedure for Msg2, 3, 4.</w:t>
        </w:r>
      </w:hyperlink>
    </w:p>
    <w:p w14:paraId="747C743C" w14:textId="03D66D3F" w:rsidR="006E1C82" w:rsidRPr="00CE0424" w:rsidRDefault="006E1C82" w:rsidP="00560801">
      <w:pPr>
        <w:pStyle w:val="BodyText"/>
      </w:pPr>
      <w:r>
        <w:lastRenderedPageBreak/>
        <w:fldChar w:fldCharType="end"/>
      </w:r>
      <w:r w:rsidRPr="00CE0424">
        <w:t xml:space="preserve"> </w:t>
      </w:r>
    </w:p>
    <w:p w14:paraId="71D79D99" w14:textId="77777777" w:rsidR="00F507D1" w:rsidRPr="00CE0424" w:rsidRDefault="00F507D1" w:rsidP="00CE0424">
      <w:pPr>
        <w:pStyle w:val="Heading1"/>
      </w:pPr>
      <w:bookmarkStart w:id="68" w:name="_In-sequence_SDU_delivery"/>
      <w:bookmarkEnd w:id="68"/>
      <w:r w:rsidRPr="00CE0424">
        <w:t>References</w:t>
      </w:r>
    </w:p>
    <w:p w14:paraId="341D0941" w14:textId="77777777" w:rsidR="009425BE" w:rsidRPr="00A144DE" w:rsidRDefault="009425BE" w:rsidP="009425BE">
      <w:pPr>
        <w:pStyle w:val="Reference"/>
        <w:rPr>
          <w:rFonts w:eastAsia="Batang" w:cs="Arial"/>
        </w:rPr>
      </w:pPr>
      <w:bookmarkStart w:id="69" w:name="_Ref162426361"/>
      <w:bookmarkStart w:id="70" w:name="_Ref174151459"/>
      <w:bookmarkStart w:id="71" w:name="_Ref189809556"/>
      <w:r w:rsidRPr="00E7135D">
        <w:rPr>
          <w:rFonts w:eastAsia="Batang" w:cs="Arial"/>
        </w:rPr>
        <w:t>RP-2</w:t>
      </w:r>
      <w:r>
        <w:rPr>
          <w:rFonts w:eastAsia="Batang" w:cs="Arial"/>
        </w:rPr>
        <w:t>40789</w:t>
      </w:r>
      <w:r w:rsidRPr="00E7135D">
        <w:rPr>
          <w:rFonts w:eastAsia="Batang" w:cs="Arial"/>
        </w:rPr>
        <w:t xml:space="preserve">, </w:t>
      </w:r>
      <w:r>
        <w:rPr>
          <w:rFonts w:eastAsia="Batang" w:cs="Arial"/>
        </w:rPr>
        <w:t>“</w:t>
      </w:r>
      <w:r w:rsidRPr="00E7135D">
        <w:rPr>
          <w:rFonts w:eastAsia="Batang" w:cs="Arial"/>
        </w:rPr>
        <w:t>WID</w:t>
      </w:r>
      <w:r>
        <w:rPr>
          <w:rFonts w:eastAsia="Batang" w:cs="Arial"/>
        </w:rPr>
        <w:t xml:space="preserve"> revision</w:t>
      </w:r>
      <w:r w:rsidRPr="00E7135D">
        <w:rPr>
          <w:rFonts w:eastAsia="Batang" w:cs="Arial"/>
        </w:rPr>
        <w:t>: Evolution of NR duplex operation: Sub-band full duplex (SBFD),</w:t>
      </w:r>
      <w:r>
        <w:rPr>
          <w:rFonts w:eastAsia="Batang" w:cs="Arial"/>
        </w:rPr>
        <w:t>”</w:t>
      </w:r>
      <w:r w:rsidRPr="00E7135D">
        <w:rPr>
          <w:rFonts w:eastAsia="Batang" w:cs="Arial"/>
        </w:rPr>
        <w:t xml:space="preserve"> </w:t>
      </w:r>
      <w:r>
        <w:rPr>
          <w:rFonts w:eastAsia="Batang" w:cs="Arial"/>
        </w:rPr>
        <w:t>Huawei, RAN #103, March</w:t>
      </w:r>
      <w:r w:rsidRPr="00E7135D">
        <w:rPr>
          <w:rFonts w:eastAsia="Batang" w:cs="Arial"/>
        </w:rPr>
        <w:t xml:space="preserve"> 202</w:t>
      </w:r>
      <w:r>
        <w:rPr>
          <w:rFonts w:eastAsia="Batang" w:cs="Arial"/>
        </w:rPr>
        <w:t>4</w:t>
      </w:r>
      <w:r w:rsidRPr="00E7135D">
        <w:rPr>
          <w:rFonts w:eastAsia="Batang" w:cs="Arial"/>
        </w:rPr>
        <w:t>.</w:t>
      </w:r>
      <w:bookmarkEnd w:id="69"/>
    </w:p>
    <w:p w14:paraId="10947757" w14:textId="0D717FC3" w:rsidR="00A144DE" w:rsidRPr="00A144DE" w:rsidRDefault="00A144DE" w:rsidP="00A144DE">
      <w:pPr>
        <w:pStyle w:val="Reference"/>
        <w:rPr>
          <w:rFonts w:eastAsia="Batang" w:cs="Arial"/>
        </w:rPr>
      </w:pPr>
      <w:bookmarkStart w:id="72" w:name="_Ref166054602"/>
      <w:r w:rsidRPr="00A144DE">
        <w:rPr>
          <w:rFonts w:eastAsia="Batang" w:cs="Arial"/>
        </w:rPr>
        <w:t>Draft Report of 3GPP TSG RAN WG1 #116b, MCC Support, v0.3.0, RAN1 #116-bis, April 2024.</w:t>
      </w:r>
      <w:bookmarkEnd w:id="72"/>
    </w:p>
    <w:p w14:paraId="715CA09B" w14:textId="5C7FDD3F" w:rsidR="003A7EF3" w:rsidRPr="00962C45" w:rsidRDefault="00A144DE" w:rsidP="00962C45">
      <w:pPr>
        <w:pStyle w:val="Reference"/>
        <w:rPr>
          <w:rFonts w:eastAsia="Batang" w:cs="Arial"/>
        </w:rPr>
      </w:pPr>
      <w:bookmarkStart w:id="73" w:name="_Ref166054837"/>
      <w:r w:rsidRPr="00A144DE">
        <w:rPr>
          <w:rFonts w:eastAsia="Batang" w:cs="Arial"/>
        </w:rPr>
        <w:t>Final Report of 3GPP TSG RAN WG1 #116</w:t>
      </w:r>
      <w:r w:rsidRPr="009425BE">
        <w:rPr>
          <w:rFonts w:eastAsia="Batang" w:cs="Arial"/>
        </w:rPr>
        <w:t>, MCC Support</w:t>
      </w:r>
      <w:r>
        <w:rPr>
          <w:rFonts w:eastAsia="Batang" w:cs="Arial"/>
        </w:rPr>
        <w:t>,</w:t>
      </w:r>
      <w:r w:rsidRPr="00A144DE">
        <w:rPr>
          <w:rFonts w:eastAsia="Batang" w:cs="Arial"/>
        </w:rPr>
        <w:t xml:space="preserve"> v1.0.0, RAN1 #116, February 2024.</w:t>
      </w:r>
      <w:bookmarkEnd w:id="73"/>
      <w:bookmarkEnd w:id="70"/>
      <w:bookmarkEnd w:id="71"/>
    </w:p>
    <w:sectPr w:rsidR="003A7EF3" w:rsidRPr="00962C45"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357BF" w14:textId="77777777" w:rsidR="009F2B91" w:rsidRDefault="009F2B91" w:rsidP="00DB5558">
      <w:r>
        <w:separator/>
      </w:r>
    </w:p>
  </w:endnote>
  <w:endnote w:type="continuationSeparator" w:id="0">
    <w:p w14:paraId="393D4954" w14:textId="77777777" w:rsidR="009F2B91" w:rsidRDefault="009F2B91" w:rsidP="00DB5558">
      <w:r>
        <w:continuationSeparator/>
      </w:r>
    </w:p>
  </w:endnote>
  <w:endnote w:type="continuationNotice" w:id="1">
    <w:p w14:paraId="61C4ACAD" w14:textId="77777777" w:rsidR="009F2B91" w:rsidRDefault="009F2B91" w:rsidP="00DB55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73F76" w14:textId="77777777" w:rsidR="009F2B91" w:rsidRDefault="009F2B91" w:rsidP="00DB5558">
      <w:r>
        <w:separator/>
      </w:r>
    </w:p>
  </w:footnote>
  <w:footnote w:type="continuationSeparator" w:id="0">
    <w:p w14:paraId="59D518F6" w14:textId="77777777" w:rsidR="009F2B91" w:rsidRDefault="009F2B91" w:rsidP="00DB5558">
      <w:r>
        <w:continuationSeparator/>
      </w:r>
    </w:p>
  </w:footnote>
  <w:footnote w:type="continuationNotice" w:id="1">
    <w:p w14:paraId="20C910C1" w14:textId="77777777" w:rsidR="009F2B91" w:rsidRDefault="009F2B91" w:rsidP="00DB55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DB55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E5711A"/>
    <w:multiLevelType w:val="hybridMultilevel"/>
    <w:tmpl w:val="F01864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EEB05502"/>
    <w:lvl w:ilvl="0" w:tplc="BA7EEC68">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8D8825A0"/>
    <w:lvl w:ilvl="0" w:tplc="D17AB30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D638B712"/>
    <w:lvl w:ilvl="0" w:tplc="DFB6E43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C57C1F"/>
    <w:multiLevelType w:val="hybridMultilevel"/>
    <w:tmpl w:val="0A62D44E"/>
    <w:lvl w:ilvl="0" w:tplc="610ECA5A">
      <w:start w:val="7"/>
      <w:numFmt w:val="bullet"/>
      <w:pStyle w:val="ListParagraph"/>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A26AD1"/>
    <w:multiLevelType w:val="hybridMultilevel"/>
    <w:tmpl w:val="8FBA70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19758996">
    <w:abstractNumId w:val="3"/>
  </w:num>
  <w:num w:numId="2" w16cid:durableId="355155966">
    <w:abstractNumId w:val="18"/>
  </w:num>
  <w:num w:numId="3" w16cid:durableId="1913851990">
    <w:abstractNumId w:val="14"/>
  </w:num>
  <w:num w:numId="4" w16cid:durableId="2090736220">
    <w:abstractNumId w:val="15"/>
  </w:num>
  <w:num w:numId="5" w16cid:durableId="674647555">
    <w:abstractNumId w:val="11"/>
  </w:num>
  <w:num w:numId="6" w16cid:durableId="1498110781">
    <w:abstractNumId w:val="17"/>
  </w:num>
  <w:num w:numId="7" w16cid:durableId="1084961623">
    <w:abstractNumId w:val="22"/>
  </w:num>
  <w:num w:numId="8" w16cid:durableId="2086880802">
    <w:abstractNumId w:val="12"/>
  </w:num>
  <w:num w:numId="9" w16cid:durableId="1576015632">
    <w:abstractNumId w:val="9"/>
  </w:num>
  <w:num w:numId="10" w16cid:durableId="2126541449">
    <w:abstractNumId w:val="2"/>
  </w:num>
  <w:num w:numId="11" w16cid:durableId="693337342">
    <w:abstractNumId w:val="1"/>
  </w:num>
  <w:num w:numId="12" w16cid:durableId="1916816155">
    <w:abstractNumId w:val="0"/>
  </w:num>
  <w:num w:numId="13" w16cid:durableId="1591889704">
    <w:abstractNumId w:val="19"/>
  </w:num>
  <w:num w:numId="14" w16cid:durableId="16199632">
    <w:abstractNumId w:val="20"/>
  </w:num>
  <w:num w:numId="15" w16cid:durableId="298389984">
    <w:abstractNumId w:val="16"/>
  </w:num>
  <w:num w:numId="16" w16cid:durableId="1337730544">
    <w:abstractNumId w:val="23"/>
  </w:num>
  <w:num w:numId="17" w16cid:durableId="561411510">
    <w:abstractNumId w:val="7"/>
  </w:num>
  <w:num w:numId="18" w16cid:durableId="1204906343">
    <w:abstractNumId w:val="8"/>
  </w:num>
  <w:num w:numId="19" w16cid:durableId="578713189">
    <w:abstractNumId w:val="5"/>
  </w:num>
  <w:num w:numId="20" w16cid:durableId="1661736935">
    <w:abstractNumId w:val="27"/>
  </w:num>
  <w:num w:numId="21" w16cid:durableId="1200509507">
    <w:abstractNumId w:val="13"/>
  </w:num>
  <w:num w:numId="22" w16cid:durableId="1050613117">
    <w:abstractNumId w:val="26"/>
  </w:num>
  <w:num w:numId="23" w16cid:durableId="305624043">
    <w:abstractNumId w:val="25"/>
  </w:num>
  <w:num w:numId="24" w16cid:durableId="1867131685">
    <w:abstractNumId w:val="21"/>
  </w:num>
  <w:num w:numId="25" w16cid:durableId="1329089240">
    <w:abstractNumId w:val="6"/>
  </w:num>
  <w:num w:numId="26" w16cid:durableId="842470048">
    <w:abstractNumId w:val="24"/>
  </w:num>
  <w:num w:numId="27" w16cid:durableId="48502174">
    <w:abstractNumId w:val="4"/>
  </w:num>
  <w:num w:numId="28" w16cid:durableId="176764932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D92"/>
    <w:rsid w:val="0000564C"/>
    <w:rsid w:val="00006446"/>
    <w:rsid w:val="00006896"/>
    <w:rsid w:val="00007CDC"/>
    <w:rsid w:val="00007DEA"/>
    <w:rsid w:val="00011B28"/>
    <w:rsid w:val="00015D15"/>
    <w:rsid w:val="0002564D"/>
    <w:rsid w:val="00025ECA"/>
    <w:rsid w:val="000325B8"/>
    <w:rsid w:val="00034BB5"/>
    <w:rsid w:val="00034BFE"/>
    <w:rsid w:val="00034C15"/>
    <w:rsid w:val="00036BA1"/>
    <w:rsid w:val="000422E2"/>
    <w:rsid w:val="0004248F"/>
    <w:rsid w:val="00042F22"/>
    <w:rsid w:val="000444EF"/>
    <w:rsid w:val="00052A07"/>
    <w:rsid w:val="000534E3"/>
    <w:rsid w:val="0005606A"/>
    <w:rsid w:val="00057117"/>
    <w:rsid w:val="0005749E"/>
    <w:rsid w:val="000616E7"/>
    <w:rsid w:val="000634A2"/>
    <w:rsid w:val="0006487E"/>
    <w:rsid w:val="00065E1A"/>
    <w:rsid w:val="00067D5E"/>
    <w:rsid w:val="00077E5F"/>
    <w:rsid w:val="0008036A"/>
    <w:rsid w:val="00081774"/>
    <w:rsid w:val="00081AE6"/>
    <w:rsid w:val="000855EB"/>
    <w:rsid w:val="00085B52"/>
    <w:rsid w:val="00086285"/>
    <w:rsid w:val="000866F2"/>
    <w:rsid w:val="00087B38"/>
    <w:rsid w:val="0009009F"/>
    <w:rsid w:val="00091557"/>
    <w:rsid w:val="000924C1"/>
    <w:rsid w:val="000924F0"/>
    <w:rsid w:val="000928E3"/>
    <w:rsid w:val="00093474"/>
    <w:rsid w:val="0009510F"/>
    <w:rsid w:val="000A0C44"/>
    <w:rsid w:val="000A1B7B"/>
    <w:rsid w:val="000A56F2"/>
    <w:rsid w:val="000A6828"/>
    <w:rsid w:val="000B063E"/>
    <w:rsid w:val="000B2719"/>
    <w:rsid w:val="000B3A8F"/>
    <w:rsid w:val="000B4AB9"/>
    <w:rsid w:val="000B4D7A"/>
    <w:rsid w:val="000B58C3"/>
    <w:rsid w:val="000B61E9"/>
    <w:rsid w:val="000C165A"/>
    <w:rsid w:val="000C2E19"/>
    <w:rsid w:val="000C3A41"/>
    <w:rsid w:val="000C514E"/>
    <w:rsid w:val="000D0D07"/>
    <w:rsid w:val="000D4797"/>
    <w:rsid w:val="000E0527"/>
    <w:rsid w:val="000E1E92"/>
    <w:rsid w:val="000E35E6"/>
    <w:rsid w:val="000E4DE6"/>
    <w:rsid w:val="000F06D6"/>
    <w:rsid w:val="000F0EB1"/>
    <w:rsid w:val="000F1106"/>
    <w:rsid w:val="000F2749"/>
    <w:rsid w:val="000F3BE9"/>
    <w:rsid w:val="000F3F6C"/>
    <w:rsid w:val="000F6DF3"/>
    <w:rsid w:val="001005FF"/>
    <w:rsid w:val="001062FB"/>
    <w:rsid w:val="001063E6"/>
    <w:rsid w:val="00113CF4"/>
    <w:rsid w:val="001153EA"/>
    <w:rsid w:val="00115643"/>
    <w:rsid w:val="00116765"/>
    <w:rsid w:val="001219F5"/>
    <w:rsid w:val="00121A20"/>
    <w:rsid w:val="00123136"/>
    <w:rsid w:val="0012377F"/>
    <w:rsid w:val="00124314"/>
    <w:rsid w:val="00126B4A"/>
    <w:rsid w:val="00127D3A"/>
    <w:rsid w:val="00132FD0"/>
    <w:rsid w:val="001344C0"/>
    <w:rsid w:val="001346FA"/>
    <w:rsid w:val="00135252"/>
    <w:rsid w:val="00137AB5"/>
    <w:rsid w:val="00137F0B"/>
    <w:rsid w:val="001445AB"/>
    <w:rsid w:val="001459D3"/>
    <w:rsid w:val="00151E23"/>
    <w:rsid w:val="001526E0"/>
    <w:rsid w:val="00153B58"/>
    <w:rsid w:val="001551B5"/>
    <w:rsid w:val="00155CC1"/>
    <w:rsid w:val="001604E3"/>
    <w:rsid w:val="001659C1"/>
    <w:rsid w:val="00173A8E"/>
    <w:rsid w:val="0017502C"/>
    <w:rsid w:val="00175C5B"/>
    <w:rsid w:val="0018143F"/>
    <w:rsid w:val="001815AB"/>
    <w:rsid w:val="00181FF8"/>
    <w:rsid w:val="001848A7"/>
    <w:rsid w:val="00186A33"/>
    <w:rsid w:val="00190AC1"/>
    <w:rsid w:val="0019341A"/>
    <w:rsid w:val="00197DF9"/>
    <w:rsid w:val="001A1987"/>
    <w:rsid w:val="001A2564"/>
    <w:rsid w:val="001A6173"/>
    <w:rsid w:val="001A6CBA"/>
    <w:rsid w:val="001B05A2"/>
    <w:rsid w:val="001B0D97"/>
    <w:rsid w:val="001B332B"/>
    <w:rsid w:val="001B4838"/>
    <w:rsid w:val="001B5A5D"/>
    <w:rsid w:val="001C1CE5"/>
    <w:rsid w:val="001C26D1"/>
    <w:rsid w:val="001C3D2A"/>
    <w:rsid w:val="001C5CB0"/>
    <w:rsid w:val="001C7350"/>
    <w:rsid w:val="001C73C4"/>
    <w:rsid w:val="001C7DDE"/>
    <w:rsid w:val="001D1CD4"/>
    <w:rsid w:val="001D51BA"/>
    <w:rsid w:val="001D53E7"/>
    <w:rsid w:val="001D6342"/>
    <w:rsid w:val="001D6D53"/>
    <w:rsid w:val="001E58E2"/>
    <w:rsid w:val="001E79AE"/>
    <w:rsid w:val="001E7AED"/>
    <w:rsid w:val="001F3470"/>
    <w:rsid w:val="001F3916"/>
    <w:rsid w:val="001F54C5"/>
    <w:rsid w:val="001F662C"/>
    <w:rsid w:val="001F7074"/>
    <w:rsid w:val="00200490"/>
    <w:rsid w:val="00200FC3"/>
    <w:rsid w:val="00201F3A"/>
    <w:rsid w:val="00203F96"/>
    <w:rsid w:val="002048F1"/>
    <w:rsid w:val="002054B8"/>
    <w:rsid w:val="00205CB4"/>
    <w:rsid w:val="002069B2"/>
    <w:rsid w:val="00207FA3"/>
    <w:rsid w:val="00214DA8"/>
    <w:rsid w:val="00215423"/>
    <w:rsid w:val="002158FA"/>
    <w:rsid w:val="00215C1B"/>
    <w:rsid w:val="00220600"/>
    <w:rsid w:val="002224DB"/>
    <w:rsid w:val="00223FCB"/>
    <w:rsid w:val="002252C3"/>
    <w:rsid w:val="00225C54"/>
    <w:rsid w:val="00230765"/>
    <w:rsid w:val="00230D18"/>
    <w:rsid w:val="002319E4"/>
    <w:rsid w:val="00234C98"/>
    <w:rsid w:val="00235632"/>
    <w:rsid w:val="00235872"/>
    <w:rsid w:val="00241559"/>
    <w:rsid w:val="00241D5D"/>
    <w:rsid w:val="0024214F"/>
    <w:rsid w:val="002435B3"/>
    <w:rsid w:val="002438BF"/>
    <w:rsid w:val="002458EB"/>
    <w:rsid w:val="002468B3"/>
    <w:rsid w:val="002500C8"/>
    <w:rsid w:val="0025553C"/>
    <w:rsid w:val="00257543"/>
    <w:rsid w:val="002617E7"/>
    <w:rsid w:val="00264228"/>
    <w:rsid w:val="00264334"/>
    <w:rsid w:val="0026473E"/>
    <w:rsid w:val="00266214"/>
    <w:rsid w:val="00267C83"/>
    <w:rsid w:val="0027144F"/>
    <w:rsid w:val="00271813"/>
    <w:rsid w:val="00271F3A"/>
    <w:rsid w:val="00273278"/>
    <w:rsid w:val="002737F4"/>
    <w:rsid w:val="002771DC"/>
    <w:rsid w:val="002805F5"/>
    <w:rsid w:val="00280751"/>
    <w:rsid w:val="0028280A"/>
    <w:rsid w:val="00286ACD"/>
    <w:rsid w:val="00287838"/>
    <w:rsid w:val="002907B5"/>
    <w:rsid w:val="00292EB7"/>
    <w:rsid w:val="0029302E"/>
    <w:rsid w:val="00296227"/>
    <w:rsid w:val="00296F44"/>
    <w:rsid w:val="0029777D"/>
    <w:rsid w:val="002A04F3"/>
    <w:rsid w:val="002A055E"/>
    <w:rsid w:val="002A1D4E"/>
    <w:rsid w:val="002A2869"/>
    <w:rsid w:val="002A578E"/>
    <w:rsid w:val="002B24D6"/>
    <w:rsid w:val="002C41E6"/>
    <w:rsid w:val="002D071A"/>
    <w:rsid w:val="002D1FAC"/>
    <w:rsid w:val="002D34B2"/>
    <w:rsid w:val="002D4171"/>
    <w:rsid w:val="002D48B0"/>
    <w:rsid w:val="002D5B37"/>
    <w:rsid w:val="002D7637"/>
    <w:rsid w:val="002E17F2"/>
    <w:rsid w:val="002E7CAE"/>
    <w:rsid w:val="002F122E"/>
    <w:rsid w:val="002F13E4"/>
    <w:rsid w:val="002F2771"/>
    <w:rsid w:val="002F37A9"/>
    <w:rsid w:val="002F3941"/>
    <w:rsid w:val="00301C0C"/>
    <w:rsid w:val="00301CE6"/>
    <w:rsid w:val="0030256B"/>
    <w:rsid w:val="00302B1E"/>
    <w:rsid w:val="0030501F"/>
    <w:rsid w:val="00307BA1"/>
    <w:rsid w:val="00311702"/>
    <w:rsid w:val="00311E82"/>
    <w:rsid w:val="00312516"/>
    <w:rsid w:val="00313FD6"/>
    <w:rsid w:val="003143BD"/>
    <w:rsid w:val="00315363"/>
    <w:rsid w:val="003203ED"/>
    <w:rsid w:val="00322C9F"/>
    <w:rsid w:val="0032313B"/>
    <w:rsid w:val="00324D23"/>
    <w:rsid w:val="00331751"/>
    <w:rsid w:val="00334579"/>
    <w:rsid w:val="00335858"/>
    <w:rsid w:val="003363BF"/>
    <w:rsid w:val="00336BDA"/>
    <w:rsid w:val="00342BD7"/>
    <w:rsid w:val="003468E7"/>
    <w:rsid w:val="00346DB5"/>
    <w:rsid w:val="003477B1"/>
    <w:rsid w:val="00357380"/>
    <w:rsid w:val="003602D9"/>
    <w:rsid w:val="003604CE"/>
    <w:rsid w:val="00365125"/>
    <w:rsid w:val="00370A17"/>
    <w:rsid w:val="00370E47"/>
    <w:rsid w:val="0037162C"/>
    <w:rsid w:val="00372E81"/>
    <w:rsid w:val="003742AC"/>
    <w:rsid w:val="00377CE1"/>
    <w:rsid w:val="00381002"/>
    <w:rsid w:val="00382EB2"/>
    <w:rsid w:val="0038458D"/>
    <w:rsid w:val="00385BF0"/>
    <w:rsid w:val="003939FF"/>
    <w:rsid w:val="003962E5"/>
    <w:rsid w:val="003A2223"/>
    <w:rsid w:val="003A2A0F"/>
    <w:rsid w:val="003A3C9D"/>
    <w:rsid w:val="003A45A1"/>
    <w:rsid w:val="003A5B0A"/>
    <w:rsid w:val="003A621B"/>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2571"/>
    <w:rsid w:val="003E4B1E"/>
    <w:rsid w:val="003E55E4"/>
    <w:rsid w:val="003E74E3"/>
    <w:rsid w:val="003F05C7"/>
    <w:rsid w:val="003F2CD4"/>
    <w:rsid w:val="003F686D"/>
    <w:rsid w:val="003F6BBE"/>
    <w:rsid w:val="004000E8"/>
    <w:rsid w:val="0040104E"/>
    <w:rsid w:val="00401520"/>
    <w:rsid w:val="00402E2B"/>
    <w:rsid w:val="00404BB0"/>
    <w:rsid w:val="0040512B"/>
    <w:rsid w:val="00405CA5"/>
    <w:rsid w:val="00407CD3"/>
    <w:rsid w:val="00410134"/>
    <w:rsid w:val="00410B72"/>
    <w:rsid w:val="00410F18"/>
    <w:rsid w:val="0041263E"/>
    <w:rsid w:val="00413AAC"/>
    <w:rsid w:val="00413E92"/>
    <w:rsid w:val="0041525F"/>
    <w:rsid w:val="00421105"/>
    <w:rsid w:val="00422AA4"/>
    <w:rsid w:val="004242F4"/>
    <w:rsid w:val="00427248"/>
    <w:rsid w:val="00432A88"/>
    <w:rsid w:val="00437447"/>
    <w:rsid w:val="00441A92"/>
    <w:rsid w:val="004431DC"/>
    <w:rsid w:val="00444F56"/>
    <w:rsid w:val="00446488"/>
    <w:rsid w:val="004517AA"/>
    <w:rsid w:val="00452CAC"/>
    <w:rsid w:val="00456542"/>
    <w:rsid w:val="00457565"/>
    <w:rsid w:val="00457B71"/>
    <w:rsid w:val="00460E60"/>
    <w:rsid w:val="00463A8C"/>
    <w:rsid w:val="00464689"/>
    <w:rsid w:val="004669E2"/>
    <w:rsid w:val="00466CF1"/>
    <w:rsid w:val="00470C31"/>
    <w:rsid w:val="0047116E"/>
    <w:rsid w:val="00471DE0"/>
    <w:rsid w:val="004734D0"/>
    <w:rsid w:val="0047556B"/>
    <w:rsid w:val="00475918"/>
    <w:rsid w:val="00477768"/>
    <w:rsid w:val="004858E4"/>
    <w:rsid w:val="00490AE5"/>
    <w:rsid w:val="00492BC5"/>
    <w:rsid w:val="004964F1"/>
    <w:rsid w:val="004A16BC"/>
    <w:rsid w:val="004A2B94"/>
    <w:rsid w:val="004A6272"/>
    <w:rsid w:val="004B6F6A"/>
    <w:rsid w:val="004B7C0C"/>
    <w:rsid w:val="004C3898"/>
    <w:rsid w:val="004C63CE"/>
    <w:rsid w:val="004D36B1"/>
    <w:rsid w:val="004D661E"/>
    <w:rsid w:val="004D75DF"/>
    <w:rsid w:val="004D7CF4"/>
    <w:rsid w:val="004D7EBD"/>
    <w:rsid w:val="004E2680"/>
    <w:rsid w:val="004E28F9"/>
    <w:rsid w:val="004E2EA3"/>
    <w:rsid w:val="004E462E"/>
    <w:rsid w:val="004E56DC"/>
    <w:rsid w:val="004E76F4"/>
    <w:rsid w:val="004F0B4E"/>
    <w:rsid w:val="004F0B6C"/>
    <w:rsid w:val="004F2078"/>
    <w:rsid w:val="004F4DA3"/>
    <w:rsid w:val="004F51AC"/>
    <w:rsid w:val="00503BE5"/>
    <w:rsid w:val="00505D90"/>
    <w:rsid w:val="00506557"/>
    <w:rsid w:val="0050677A"/>
    <w:rsid w:val="005108D8"/>
    <w:rsid w:val="00510F0E"/>
    <w:rsid w:val="005116F9"/>
    <w:rsid w:val="005153A7"/>
    <w:rsid w:val="00521402"/>
    <w:rsid w:val="005219CF"/>
    <w:rsid w:val="005337C7"/>
    <w:rsid w:val="00534B59"/>
    <w:rsid w:val="00536759"/>
    <w:rsid w:val="00537C62"/>
    <w:rsid w:val="00540AE7"/>
    <w:rsid w:val="00546970"/>
    <w:rsid w:val="005511C9"/>
    <w:rsid w:val="00554E19"/>
    <w:rsid w:val="00560801"/>
    <w:rsid w:val="00561197"/>
    <w:rsid w:val="0056121F"/>
    <w:rsid w:val="00572505"/>
    <w:rsid w:val="00582809"/>
    <w:rsid w:val="0058798C"/>
    <w:rsid w:val="00587C38"/>
    <w:rsid w:val="00587C56"/>
    <w:rsid w:val="005900FA"/>
    <w:rsid w:val="005935A4"/>
    <w:rsid w:val="005948C2"/>
    <w:rsid w:val="00595DCA"/>
    <w:rsid w:val="005963BB"/>
    <w:rsid w:val="0059779B"/>
    <w:rsid w:val="00597DEE"/>
    <w:rsid w:val="005A209A"/>
    <w:rsid w:val="005A389A"/>
    <w:rsid w:val="005A662D"/>
    <w:rsid w:val="005B1409"/>
    <w:rsid w:val="005B35D7"/>
    <w:rsid w:val="005B392A"/>
    <w:rsid w:val="005B3AA3"/>
    <w:rsid w:val="005B6F83"/>
    <w:rsid w:val="005C74FB"/>
    <w:rsid w:val="005D1155"/>
    <w:rsid w:val="005D1602"/>
    <w:rsid w:val="005E184A"/>
    <w:rsid w:val="005E385F"/>
    <w:rsid w:val="005E5B81"/>
    <w:rsid w:val="005F2CB1"/>
    <w:rsid w:val="005F3025"/>
    <w:rsid w:val="005F54F9"/>
    <w:rsid w:val="005F5911"/>
    <w:rsid w:val="005F618C"/>
    <w:rsid w:val="005F62DD"/>
    <w:rsid w:val="005F70BD"/>
    <w:rsid w:val="00601F47"/>
    <w:rsid w:val="0060283C"/>
    <w:rsid w:val="00604F14"/>
    <w:rsid w:val="00605F57"/>
    <w:rsid w:val="00607AEF"/>
    <w:rsid w:val="006119BD"/>
    <w:rsid w:val="00611B83"/>
    <w:rsid w:val="00613257"/>
    <w:rsid w:val="006159CD"/>
    <w:rsid w:val="00620A71"/>
    <w:rsid w:val="00620D80"/>
    <w:rsid w:val="006234A6"/>
    <w:rsid w:val="00630001"/>
    <w:rsid w:val="006311AF"/>
    <w:rsid w:val="006311B3"/>
    <w:rsid w:val="0063284C"/>
    <w:rsid w:val="00634688"/>
    <w:rsid w:val="00636398"/>
    <w:rsid w:val="006368D3"/>
    <w:rsid w:val="006377EC"/>
    <w:rsid w:val="0064151F"/>
    <w:rsid w:val="00641533"/>
    <w:rsid w:val="0064208D"/>
    <w:rsid w:val="00643475"/>
    <w:rsid w:val="0064396A"/>
    <w:rsid w:val="0064624E"/>
    <w:rsid w:val="00650AB9"/>
    <w:rsid w:val="00651360"/>
    <w:rsid w:val="00652A96"/>
    <w:rsid w:val="00653B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F06"/>
    <w:rsid w:val="00673641"/>
    <w:rsid w:val="006741F2"/>
    <w:rsid w:val="00674C07"/>
    <w:rsid w:val="00674CC3"/>
    <w:rsid w:val="00675C72"/>
    <w:rsid w:val="006771F9"/>
    <w:rsid w:val="006776D7"/>
    <w:rsid w:val="00680D95"/>
    <w:rsid w:val="00681003"/>
    <w:rsid w:val="006817C9"/>
    <w:rsid w:val="00683ECE"/>
    <w:rsid w:val="00693AF8"/>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A16"/>
    <w:rsid w:val="006D6F08"/>
    <w:rsid w:val="006D7DFF"/>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17F07"/>
    <w:rsid w:val="00721B32"/>
    <w:rsid w:val="00721DA5"/>
    <w:rsid w:val="007257D0"/>
    <w:rsid w:val="00726EA6"/>
    <w:rsid w:val="00727208"/>
    <w:rsid w:val="00727680"/>
    <w:rsid w:val="007346E9"/>
    <w:rsid w:val="007348B1"/>
    <w:rsid w:val="007362A6"/>
    <w:rsid w:val="00736D7D"/>
    <w:rsid w:val="00740E58"/>
    <w:rsid w:val="0074159D"/>
    <w:rsid w:val="007445A0"/>
    <w:rsid w:val="0074524B"/>
    <w:rsid w:val="00747D8B"/>
    <w:rsid w:val="00751228"/>
    <w:rsid w:val="0075424B"/>
    <w:rsid w:val="00754868"/>
    <w:rsid w:val="00756BA0"/>
    <w:rsid w:val="007571E1"/>
    <w:rsid w:val="007604B2"/>
    <w:rsid w:val="00765281"/>
    <w:rsid w:val="00766BAD"/>
    <w:rsid w:val="00770C8F"/>
    <w:rsid w:val="00770F19"/>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979A4"/>
    <w:rsid w:val="007A1CB3"/>
    <w:rsid w:val="007A306F"/>
    <w:rsid w:val="007A43A6"/>
    <w:rsid w:val="007A44B6"/>
    <w:rsid w:val="007A58A6"/>
    <w:rsid w:val="007B128B"/>
    <w:rsid w:val="007B23C8"/>
    <w:rsid w:val="007B3D2D"/>
    <w:rsid w:val="007B50AE"/>
    <w:rsid w:val="007B51DF"/>
    <w:rsid w:val="007B77B0"/>
    <w:rsid w:val="007C05DD"/>
    <w:rsid w:val="007C3D18"/>
    <w:rsid w:val="007C60BF"/>
    <w:rsid w:val="007C6A07"/>
    <w:rsid w:val="007C75A1"/>
    <w:rsid w:val="007C77A5"/>
    <w:rsid w:val="007D04E5"/>
    <w:rsid w:val="007D5901"/>
    <w:rsid w:val="007D7526"/>
    <w:rsid w:val="007E0132"/>
    <w:rsid w:val="007E4610"/>
    <w:rsid w:val="007E4715"/>
    <w:rsid w:val="007E505B"/>
    <w:rsid w:val="007E7091"/>
    <w:rsid w:val="007E7D7F"/>
    <w:rsid w:val="007F30E1"/>
    <w:rsid w:val="008017B4"/>
    <w:rsid w:val="00803FAE"/>
    <w:rsid w:val="0080605F"/>
    <w:rsid w:val="00807786"/>
    <w:rsid w:val="00811B48"/>
    <w:rsid w:val="00811FCB"/>
    <w:rsid w:val="0081557B"/>
    <w:rsid w:val="008158D6"/>
    <w:rsid w:val="00817196"/>
    <w:rsid w:val="008235DB"/>
    <w:rsid w:val="00824AB4"/>
    <w:rsid w:val="00825C42"/>
    <w:rsid w:val="00825D25"/>
    <w:rsid w:val="00827D6F"/>
    <w:rsid w:val="00830F2B"/>
    <w:rsid w:val="008368F8"/>
    <w:rsid w:val="008376AC"/>
    <w:rsid w:val="008405A0"/>
    <w:rsid w:val="00841994"/>
    <w:rsid w:val="00842A99"/>
    <w:rsid w:val="008444E8"/>
    <w:rsid w:val="00844D44"/>
    <w:rsid w:val="00844E80"/>
    <w:rsid w:val="00846FE7"/>
    <w:rsid w:val="00856911"/>
    <w:rsid w:val="008578CB"/>
    <w:rsid w:val="00865C14"/>
    <w:rsid w:val="008677FD"/>
    <w:rsid w:val="008706D4"/>
    <w:rsid w:val="00870F8A"/>
    <w:rsid w:val="008719A4"/>
    <w:rsid w:val="00871D23"/>
    <w:rsid w:val="00874312"/>
    <w:rsid w:val="0087437C"/>
    <w:rsid w:val="00875CD7"/>
    <w:rsid w:val="00876B4D"/>
    <w:rsid w:val="00877F18"/>
    <w:rsid w:val="00881268"/>
    <w:rsid w:val="00884294"/>
    <w:rsid w:val="00887256"/>
    <w:rsid w:val="008941E3"/>
    <w:rsid w:val="00894A88"/>
    <w:rsid w:val="00895386"/>
    <w:rsid w:val="008A21FF"/>
    <w:rsid w:val="008A2CE2"/>
    <w:rsid w:val="008A2DBD"/>
    <w:rsid w:val="008A30AC"/>
    <w:rsid w:val="008A373D"/>
    <w:rsid w:val="008A44B8"/>
    <w:rsid w:val="008A51A8"/>
    <w:rsid w:val="008A54C7"/>
    <w:rsid w:val="008A77D8"/>
    <w:rsid w:val="008B0483"/>
    <w:rsid w:val="008B120C"/>
    <w:rsid w:val="008B2EA5"/>
    <w:rsid w:val="008B51A0"/>
    <w:rsid w:val="008B592A"/>
    <w:rsid w:val="008B7B5C"/>
    <w:rsid w:val="008C0C99"/>
    <w:rsid w:val="008C2017"/>
    <w:rsid w:val="008C337A"/>
    <w:rsid w:val="008C37DD"/>
    <w:rsid w:val="008C4958"/>
    <w:rsid w:val="008C4BAA"/>
    <w:rsid w:val="008C6AE8"/>
    <w:rsid w:val="008C7573"/>
    <w:rsid w:val="008D00A5"/>
    <w:rsid w:val="008D34F1"/>
    <w:rsid w:val="008D39B2"/>
    <w:rsid w:val="008D39D8"/>
    <w:rsid w:val="008D6D1A"/>
    <w:rsid w:val="008E065E"/>
    <w:rsid w:val="008E0927"/>
    <w:rsid w:val="008E13E4"/>
    <w:rsid w:val="008E1909"/>
    <w:rsid w:val="008F1C4E"/>
    <w:rsid w:val="008F1EAB"/>
    <w:rsid w:val="008F33DC"/>
    <w:rsid w:val="008F477F"/>
    <w:rsid w:val="008F65FC"/>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5CDC"/>
    <w:rsid w:val="009368F3"/>
    <w:rsid w:val="009415B8"/>
    <w:rsid w:val="00941636"/>
    <w:rsid w:val="009425BE"/>
    <w:rsid w:val="00943742"/>
    <w:rsid w:val="009451C8"/>
    <w:rsid w:val="00945C05"/>
    <w:rsid w:val="00946945"/>
    <w:rsid w:val="00947713"/>
    <w:rsid w:val="00950DE7"/>
    <w:rsid w:val="00953920"/>
    <w:rsid w:val="00953D47"/>
    <w:rsid w:val="0095681E"/>
    <w:rsid w:val="009572D4"/>
    <w:rsid w:val="00961921"/>
    <w:rsid w:val="00962C45"/>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851"/>
    <w:rsid w:val="009A3BB6"/>
    <w:rsid w:val="009A462D"/>
    <w:rsid w:val="009A5CBA"/>
    <w:rsid w:val="009B1F30"/>
    <w:rsid w:val="009B276F"/>
    <w:rsid w:val="009B3AC2"/>
    <w:rsid w:val="009B4DF4"/>
    <w:rsid w:val="009B564E"/>
    <w:rsid w:val="009B6DCC"/>
    <w:rsid w:val="009B7E87"/>
    <w:rsid w:val="009C0169"/>
    <w:rsid w:val="009C403E"/>
    <w:rsid w:val="009C45DB"/>
    <w:rsid w:val="009D4FF0"/>
    <w:rsid w:val="009D703C"/>
    <w:rsid w:val="009D70B5"/>
    <w:rsid w:val="009D718F"/>
    <w:rsid w:val="009E068F"/>
    <w:rsid w:val="009E14E0"/>
    <w:rsid w:val="009E35DB"/>
    <w:rsid w:val="009E47A3"/>
    <w:rsid w:val="009E7951"/>
    <w:rsid w:val="009F0178"/>
    <w:rsid w:val="009F08F3"/>
    <w:rsid w:val="009F2B91"/>
    <w:rsid w:val="009F344F"/>
    <w:rsid w:val="00A031D8"/>
    <w:rsid w:val="00A048A8"/>
    <w:rsid w:val="00A04F49"/>
    <w:rsid w:val="00A13832"/>
    <w:rsid w:val="00A13E54"/>
    <w:rsid w:val="00A144DE"/>
    <w:rsid w:val="00A17F63"/>
    <w:rsid w:val="00A2193B"/>
    <w:rsid w:val="00A2351A"/>
    <w:rsid w:val="00A264A9"/>
    <w:rsid w:val="00A26DCF"/>
    <w:rsid w:val="00A27785"/>
    <w:rsid w:val="00A30187"/>
    <w:rsid w:val="00A322E4"/>
    <w:rsid w:val="00A3448A"/>
    <w:rsid w:val="00A36297"/>
    <w:rsid w:val="00A41E2B"/>
    <w:rsid w:val="00A42EF6"/>
    <w:rsid w:val="00A45B74"/>
    <w:rsid w:val="00A45F27"/>
    <w:rsid w:val="00A52B1E"/>
    <w:rsid w:val="00A52E1D"/>
    <w:rsid w:val="00A55FF4"/>
    <w:rsid w:val="00A56054"/>
    <w:rsid w:val="00A611BC"/>
    <w:rsid w:val="00A61499"/>
    <w:rsid w:val="00A62A77"/>
    <w:rsid w:val="00A63483"/>
    <w:rsid w:val="00A657D7"/>
    <w:rsid w:val="00A660AC"/>
    <w:rsid w:val="00A67E6C"/>
    <w:rsid w:val="00A71B99"/>
    <w:rsid w:val="00A739D0"/>
    <w:rsid w:val="00A761D4"/>
    <w:rsid w:val="00A77EC4"/>
    <w:rsid w:val="00A83974"/>
    <w:rsid w:val="00A90ADB"/>
    <w:rsid w:val="00A92149"/>
    <w:rsid w:val="00A92879"/>
    <w:rsid w:val="00A940F1"/>
    <w:rsid w:val="00A9442A"/>
    <w:rsid w:val="00AA016F"/>
    <w:rsid w:val="00AA12E5"/>
    <w:rsid w:val="00AA1ED6"/>
    <w:rsid w:val="00AA51D6"/>
    <w:rsid w:val="00AB0BC8"/>
    <w:rsid w:val="00AB11CA"/>
    <w:rsid w:val="00AB14D9"/>
    <w:rsid w:val="00AB4AB8"/>
    <w:rsid w:val="00AB655E"/>
    <w:rsid w:val="00AC007F"/>
    <w:rsid w:val="00AC22FB"/>
    <w:rsid w:val="00AC2ECD"/>
    <w:rsid w:val="00AC3119"/>
    <w:rsid w:val="00AC49FB"/>
    <w:rsid w:val="00AC5A10"/>
    <w:rsid w:val="00AD0AA3"/>
    <w:rsid w:val="00AD2ED0"/>
    <w:rsid w:val="00AD3F94"/>
    <w:rsid w:val="00AD4A5A"/>
    <w:rsid w:val="00AE09BC"/>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341"/>
    <w:rsid w:val="00B2757F"/>
    <w:rsid w:val="00B2763F"/>
    <w:rsid w:val="00B27AAC"/>
    <w:rsid w:val="00B30929"/>
    <w:rsid w:val="00B355FC"/>
    <w:rsid w:val="00B37267"/>
    <w:rsid w:val="00B372AA"/>
    <w:rsid w:val="00B40445"/>
    <w:rsid w:val="00B409E0"/>
    <w:rsid w:val="00B41888"/>
    <w:rsid w:val="00B4242A"/>
    <w:rsid w:val="00B45A52"/>
    <w:rsid w:val="00B46175"/>
    <w:rsid w:val="00B548B7"/>
    <w:rsid w:val="00B573ED"/>
    <w:rsid w:val="00B57E64"/>
    <w:rsid w:val="00B664C7"/>
    <w:rsid w:val="00B713D8"/>
    <w:rsid w:val="00B739F6"/>
    <w:rsid w:val="00B76927"/>
    <w:rsid w:val="00B77356"/>
    <w:rsid w:val="00B81A6C"/>
    <w:rsid w:val="00B85DE5"/>
    <w:rsid w:val="00B87CA7"/>
    <w:rsid w:val="00B90F73"/>
    <w:rsid w:val="00B93B59"/>
    <w:rsid w:val="00B9406A"/>
    <w:rsid w:val="00BA1CDA"/>
    <w:rsid w:val="00BA2280"/>
    <w:rsid w:val="00BA2A08"/>
    <w:rsid w:val="00BA56D2"/>
    <w:rsid w:val="00BA76E0"/>
    <w:rsid w:val="00BB2A25"/>
    <w:rsid w:val="00BB51E9"/>
    <w:rsid w:val="00BC0FDC"/>
    <w:rsid w:val="00BC3053"/>
    <w:rsid w:val="00BC4D2E"/>
    <w:rsid w:val="00BD22D9"/>
    <w:rsid w:val="00BD4637"/>
    <w:rsid w:val="00BD48AC"/>
    <w:rsid w:val="00BD5F1A"/>
    <w:rsid w:val="00BE1234"/>
    <w:rsid w:val="00BE12F6"/>
    <w:rsid w:val="00BE2FA6"/>
    <w:rsid w:val="00BE333F"/>
    <w:rsid w:val="00BE725F"/>
    <w:rsid w:val="00BE7406"/>
    <w:rsid w:val="00BE7603"/>
    <w:rsid w:val="00BF3279"/>
    <w:rsid w:val="00BF32DC"/>
    <w:rsid w:val="00BF6436"/>
    <w:rsid w:val="00BF6642"/>
    <w:rsid w:val="00BF74C7"/>
    <w:rsid w:val="00C015F1"/>
    <w:rsid w:val="00C01F33"/>
    <w:rsid w:val="00C02CC6"/>
    <w:rsid w:val="00C040F7"/>
    <w:rsid w:val="00C044AB"/>
    <w:rsid w:val="00C05706"/>
    <w:rsid w:val="00C07377"/>
    <w:rsid w:val="00C10478"/>
    <w:rsid w:val="00C112DE"/>
    <w:rsid w:val="00C114B8"/>
    <w:rsid w:val="00C12107"/>
    <w:rsid w:val="00C14D4B"/>
    <w:rsid w:val="00C154BB"/>
    <w:rsid w:val="00C25B96"/>
    <w:rsid w:val="00C279B5"/>
    <w:rsid w:val="00C27C45"/>
    <w:rsid w:val="00C304B3"/>
    <w:rsid w:val="00C3719D"/>
    <w:rsid w:val="00C37CB2"/>
    <w:rsid w:val="00C46806"/>
    <w:rsid w:val="00C473A5"/>
    <w:rsid w:val="00C54995"/>
    <w:rsid w:val="00C54D41"/>
    <w:rsid w:val="00C56093"/>
    <w:rsid w:val="00C60783"/>
    <w:rsid w:val="00C64672"/>
    <w:rsid w:val="00C64D84"/>
    <w:rsid w:val="00C66993"/>
    <w:rsid w:val="00C70697"/>
    <w:rsid w:val="00C72093"/>
    <w:rsid w:val="00C72EF4"/>
    <w:rsid w:val="00C744FE"/>
    <w:rsid w:val="00C74F71"/>
    <w:rsid w:val="00C75D2F"/>
    <w:rsid w:val="00C767BE"/>
    <w:rsid w:val="00C76E3C"/>
    <w:rsid w:val="00C81568"/>
    <w:rsid w:val="00C86A76"/>
    <w:rsid w:val="00C9027A"/>
    <w:rsid w:val="00C9029C"/>
    <w:rsid w:val="00C9068E"/>
    <w:rsid w:val="00C93814"/>
    <w:rsid w:val="00C93C4B"/>
    <w:rsid w:val="00C944AB"/>
    <w:rsid w:val="00C95B40"/>
    <w:rsid w:val="00CA1ED8"/>
    <w:rsid w:val="00CA4D7D"/>
    <w:rsid w:val="00CB00E4"/>
    <w:rsid w:val="00CB1185"/>
    <w:rsid w:val="00CB1F63"/>
    <w:rsid w:val="00CB4187"/>
    <w:rsid w:val="00CB7170"/>
    <w:rsid w:val="00CC040E"/>
    <w:rsid w:val="00CC111F"/>
    <w:rsid w:val="00CC2011"/>
    <w:rsid w:val="00CC3EA0"/>
    <w:rsid w:val="00CC7B45"/>
    <w:rsid w:val="00CD1188"/>
    <w:rsid w:val="00CD2ED1"/>
    <w:rsid w:val="00CD337B"/>
    <w:rsid w:val="00CD5EB1"/>
    <w:rsid w:val="00CE0424"/>
    <w:rsid w:val="00CE7561"/>
    <w:rsid w:val="00CF1354"/>
    <w:rsid w:val="00CF3B1F"/>
    <w:rsid w:val="00CF3BF6"/>
    <w:rsid w:val="00CF3ED9"/>
    <w:rsid w:val="00CF625B"/>
    <w:rsid w:val="00CF687E"/>
    <w:rsid w:val="00D02428"/>
    <w:rsid w:val="00D0349B"/>
    <w:rsid w:val="00D0648A"/>
    <w:rsid w:val="00D10249"/>
    <w:rsid w:val="00D115C3"/>
    <w:rsid w:val="00D11897"/>
    <w:rsid w:val="00D12C84"/>
    <w:rsid w:val="00D13135"/>
    <w:rsid w:val="00D13E4E"/>
    <w:rsid w:val="00D20F0B"/>
    <w:rsid w:val="00D225F2"/>
    <w:rsid w:val="00D239A7"/>
    <w:rsid w:val="00D23F47"/>
    <w:rsid w:val="00D24222"/>
    <w:rsid w:val="00D243F3"/>
    <w:rsid w:val="00D36E71"/>
    <w:rsid w:val="00D37D87"/>
    <w:rsid w:val="00D40B33"/>
    <w:rsid w:val="00D42EE9"/>
    <w:rsid w:val="00D4318F"/>
    <w:rsid w:val="00D438BF"/>
    <w:rsid w:val="00D440F8"/>
    <w:rsid w:val="00D454C2"/>
    <w:rsid w:val="00D546FF"/>
    <w:rsid w:val="00D55AD5"/>
    <w:rsid w:val="00D576CA"/>
    <w:rsid w:val="00D61AF5"/>
    <w:rsid w:val="00D652B5"/>
    <w:rsid w:val="00D66155"/>
    <w:rsid w:val="00D708B0"/>
    <w:rsid w:val="00D74B71"/>
    <w:rsid w:val="00D77B1D"/>
    <w:rsid w:val="00D8021F"/>
    <w:rsid w:val="00D80383"/>
    <w:rsid w:val="00D823C6"/>
    <w:rsid w:val="00D8327F"/>
    <w:rsid w:val="00D85F54"/>
    <w:rsid w:val="00D86CA3"/>
    <w:rsid w:val="00D871CE"/>
    <w:rsid w:val="00D872AA"/>
    <w:rsid w:val="00D9051D"/>
    <w:rsid w:val="00D9196D"/>
    <w:rsid w:val="00D92982"/>
    <w:rsid w:val="00D93479"/>
    <w:rsid w:val="00DA305E"/>
    <w:rsid w:val="00DA5198"/>
    <w:rsid w:val="00DA5417"/>
    <w:rsid w:val="00DA56E8"/>
    <w:rsid w:val="00DB0A9F"/>
    <w:rsid w:val="00DB377D"/>
    <w:rsid w:val="00DB5558"/>
    <w:rsid w:val="00DC2D36"/>
    <w:rsid w:val="00DC4077"/>
    <w:rsid w:val="00DC53EF"/>
    <w:rsid w:val="00DC6469"/>
    <w:rsid w:val="00DD64D2"/>
    <w:rsid w:val="00DE5608"/>
    <w:rsid w:val="00DE58D0"/>
    <w:rsid w:val="00DE60F5"/>
    <w:rsid w:val="00DE654F"/>
    <w:rsid w:val="00DF0B6E"/>
    <w:rsid w:val="00DF15E0"/>
    <w:rsid w:val="00DF37A0"/>
    <w:rsid w:val="00E02B15"/>
    <w:rsid w:val="00E04944"/>
    <w:rsid w:val="00E110E7"/>
    <w:rsid w:val="00E11B20"/>
    <w:rsid w:val="00E16710"/>
    <w:rsid w:val="00E17FA2"/>
    <w:rsid w:val="00E22330"/>
    <w:rsid w:val="00E244B4"/>
    <w:rsid w:val="00E248AD"/>
    <w:rsid w:val="00E30B5A"/>
    <w:rsid w:val="00E3123D"/>
    <w:rsid w:val="00E31461"/>
    <w:rsid w:val="00E31D43"/>
    <w:rsid w:val="00E32608"/>
    <w:rsid w:val="00E34188"/>
    <w:rsid w:val="00E34B6E"/>
    <w:rsid w:val="00E35559"/>
    <w:rsid w:val="00E3723A"/>
    <w:rsid w:val="00E37860"/>
    <w:rsid w:val="00E4393C"/>
    <w:rsid w:val="00E446F1"/>
    <w:rsid w:val="00E46886"/>
    <w:rsid w:val="00E47AEF"/>
    <w:rsid w:val="00E53B75"/>
    <w:rsid w:val="00E54E3B"/>
    <w:rsid w:val="00E57565"/>
    <w:rsid w:val="00E63838"/>
    <w:rsid w:val="00E64434"/>
    <w:rsid w:val="00E66240"/>
    <w:rsid w:val="00E67C51"/>
    <w:rsid w:val="00E7003D"/>
    <w:rsid w:val="00E702D0"/>
    <w:rsid w:val="00E72EFC"/>
    <w:rsid w:val="00E748C5"/>
    <w:rsid w:val="00E758EC"/>
    <w:rsid w:val="00E77FF9"/>
    <w:rsid w:val="00E8234C"/>
    <w:rsid w:val="00E83AA9"/>
    <w:rsid w:val="00E85928"/>
    <w:rsid w:val="00E87822"/>
    <w:rsid w:val="00E90395"/>
    <w:rsid w:val="00E90E49"/>
    <w:rsid w:val="00E917F9"/>
    <w:rsid w:val="00E9291C"/>
    <w:rsid w:val="00E93C68"/>
    <w:rsid w:val="00E93FFE"/>
    <w:rsid w:val="00E94C30"/>
    <w:rsid w:val="00E94F8A"/>
    <w:rsid w:val="00EA4B80"/>
    <w:rsid w:val="00EA7A41"/>
    <w:rsid w:val="00EB077B"/>
    <w:rsid w:val="00EB4EA2"/>
    <w:rsid w:val="00EC1F5D"/>
    <w:rsid w:val="00EC24D5"/>
    <w:rsid w:val="00EC279A"/>
    <w:rsid w:val="00EC27C6"/>
    <w:rsid w:val="00EC38EA"/>
    <w:rsid w:val="00EC4207"/>
    <w:rsid w:val="00EC5653"/>
    <w:rsid w:val="00EC67A1"/>
    <w:rsid w:val="00EC6EF3"/>
    <w:rsid w:val="00EC71CE"/>
    <w:rsid w:val="00ED1006"/>
    <w:rsid w:val="00ED1311"/>
    <w:rsid w:val="00ED67BA"/>
    <w:rsid w:val="00EE1D0C"/>
    <w:rsid w:val="00EE7D3A"/>
    <w:rsid w:val="00EF18FE"/>
    <w:rsid w:val="00EF5787"/>
    <w:rsid w:val="00EF60D0"/>
    <w:rsid w:val="00F007E7"/>
    <w:rsid w:val="00F0186B"/>
    <w:rsid w:val="00F02A41"/>
    <w:rsid w:val="00F044FD"/>
    <w:rsid w:val="00F0528D"/>
    <w:rsid w:val="00F06C67"/>
    <w:rsid w:val="00F06DFD"/>
    <w:rsid w:val="00F071D1"/>
    <w:rsid w:val="00F07533"/>
    <w:rsid w:val="00F10629"/>
    <w:rsid w:val="00F15FA5"/>
    <w:rsid w:val="00F209B7"/>
    <w:rsid w:val="00F2376F"/>
    <w:rsid w:val="00F243D8"/>
    <w:rsid w:val="00F26A06"/>
    <w:rsid w:val="00F2712C"/>
    <w:rsid w:val="00F30828"/>
    <w:rsid w:val="00F313D6"/>
    <w:rsid w:val="00F40F0C"/>
    <w:rsid w:val="00F4498C"/>
    <w:rsid w:val="00F4766C"/>
    <w:rsid w:val="00F5060E"/>
    <w:rsid w:val="00F507D1"/>
    <w:rsid w:val="00F51007"/>
    <w:rsid w:val="00F519CE"/>
    <w:rsid w:val="00F51ADA"/>
    <w:rsid w:val="00F60203"/>
    <w:rsid w:val="00F607C5"/>
    <w:rsid w:val="00F60DEA"/>
    <w:rsid w:val="00F6255B"/>
    <w:rsid w:val="00F6302A"/>
    <w:rsid w:val="00F6309E"/>
    <w:rsid w:val="00F63950"/>
    <w:rsid w:val="00F64C2B"/>
    <w:rsid w:val="00F651BE"/>
    <w:rsid w:val="00F67F53"/>
    <w:rsid w:val="00F703BE"/>
    <w:rsid w:val="00F71F69"/>
    <w:rsid w:val="00F72B72"/>
    <w:rsid w:val="00F731AE"/>
    <w:rsid w:val="00F74BB9"/>
    <w:rsid w:val="00F75582"/>
    <w:rsid w:val="00F76EFA"/>
    <w:rsid w:val="00F804BE"/>
    <w:rsid w:val="00F817CE"/>
    <w:rsid w:val="00F8456C"/>
    <w:rsid w:val="00F859D8"/>
    <w:rsid w:val="00F868F5"/>
    <w:rsid w:val="00F86BDC"/>
    <w:rsid w:val="00F9056A"/>
    <w:rsid w:val="00F90F8D"/>
    <w:rsid w:val="00F92782"/>
    <w:rsid w:val="00F92926"/>
    <w:rsid w:val="00F93AA9"/>
    <w:rsid w:val="00F96985"/>
    <w:rsid w:val="00F97838"/>
    <w:rsid w:val="00FA114B"/>
    <w:rsid w:val="00FA2BB3"/>
    <w:rsid w:val="00FA569F"/>
    <w:rsid w:val="00FA5CC1"/>
    <w:rsid w:val="00FB365B"/>
    <w:rsid w:val="00FB4C80"/>
    <w:rsid w:val="00FB5242"/>
    <w:rsid w:val="00FB6A6A"/>
    <w:rsid w:val="00FC5115"/>
    <w:rsid w:val="00FC7429"/>
    <w:rsid w:val="00FD07F6"/>
    <w:rsid w:val="00FD1EC8"/>
    <w:rsid w:val="00FD47ED"/>
    <w:rsid w:val="00FD74DB"/>
    <w:rsid w:val="00FD7660"/>
    <w:rsid w:val="00FE0655"/>
    <w:rsid w:val="00FE06D3"/>
    <w:rsid w:val="00FE2365"/>
    <w:rsid w:val="00FE37D7"/>
    <w:rsid w:val="00FE493F"/>
    <w:rsid w:val="00FE4A42"/>
    <w:rsid w:val="00FE4C7B"/>
    <w:rsid w:val="00FE7336"/>
    <w:rsid w:val="00FE787C"/>
    <w:rsid w:val="00FF0580"/>
    <w:rsid w:val="00FF06D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DB5558"/>
    <w:pPr>
      <w:spacing w:after="160" w:line="259" w:lineRule="auto"/>
      <w:jc w:val="both"/>
    </w:pPr>
    <w:rPr>
      <w:rFonts w:ascii="Arial" w:eastAsiaTheme="minorHAnsi" w:hAnsi="Arial" w:cstheme="minorBidi"/>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1459D3"/>
    <w:pPr>
      <w:numPr>
        <w:numId w:val="21"/>
      </w:numPr>
    </w:pPr>
    <w:rPr>
      <w:rFonts w:cs="Arial"/>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DD64D2"/>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1E79AE"/>
    <w:pPr>
      <w:numPr>
        <w:numId w:val="3"/>
      </w:numPr>
      <w:tabs>
        <w:tab w:val="left" w:pos="1701"/>
      </w:tabs>
    </w:pPr>
    <w:rPr>
      <w:b/>
      <w:bCs/>
    </w:rPr>
  </w:style>
  <w:style w:type="character" w:customStyle="1" w:styleId="BodyTextChar">
    <w:name w:val="Body Text Char"/>
    <w:link w:val="BodyText"/>
    <w:rsid w:val="00DD64D2"/>
    <w:rPr>
      <w:rFonts w:ascii="Arial" w:eastAsiaTheme="minorHAnsi" w:hAnsi="Arial" w:cstheme="minorBidi"/>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87256"/>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1459D3"/>
    <w:pPr>
      <w:numPr>
        <w:numId w:val="24"/>
      </w:numPr>
      <w:spacing w:after="0"/>
    </w:pPr>
    <w:rPr>
      <w:rFonts w:eastAsia="Calibri" w:cs="Arial"/>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1459D3"/>
    <w:rPr>
      <w:rFonts w:ascii="Arial" w:eastAsia="Calibri" w:hAnsi="Arial" w:cs="Arial"/>
      <w:lang w:val="x-none"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PlaceholderText">
    <w:name w:val="Placeholder Text"/>
    <w:basedOn w:val="DefaultParagraphFont"/>
    <w:uiPriority w:val="99"/>
    <w:semiHidden/>
    <w:rsid w:val="009E7951"/>
    <w:rPr>
      <w:color w:val="808080"/>
    </w:rPr>
  </w:style>
  <w:style w:type="table" w:styleId="PlainTable3">
    <w:name w:val="Plain Table 3"/>
    <w:basedOn w:val="TableNormal"/>
    <w:uiPriority w:val="43"/>
    <w:locked/>
    <w:rsid w:val="009E795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Accent5">
    <w:name w:val="List Table 7 Colorful Accent 5"/>
    <w:basedOn w:val="TableNormal"/>
    <w:uiPriority w:val="52"/>
    <w:locked/>
    <w:rsid w:val="00370A17"/>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locked/>
    <w:rsid w:val="00370A1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PlainTable5">
    <w:name w:val="Plain Table 5"/>
    <w:basedOn w:val="TableNormal"/>
    <w:uiPriority w:val="45"/>
    <w:locked/>
    <w:rsid w:val="00370A1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CB4187"/>
    <w:rPr>
      <w:rFonts w:ascii="Arial" w:eastAsiaTheme="minorHAnsi" w:hAnsi="Arial" w:cstheme="minorBid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7" ma:contentTypeDescription="Create a new document." ma:contentTypeScope="" ma:versionID="7dd75705e1c96e017c018b3d5ed0b2ac">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6a9156802fb5b76cde2a7eb7dbec2748"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cf15794-1c34-4b37-a3c8-0e782a84561c" xsi:nil="true"/>
  </documentManagement>
</p:properties>
</file>

<file path=customXml/itemProps1.xml><?xml version="1.0" encoding="utf-8"?>
<ds:datastoreItem xmlns:ds="http://schemas.openxmlformats.org/officeDocument/2006/customXml" ds:itemID="{32A3BD41-E269-42D9-99D2-A6488636AEB8}">
  <ds:schemaRefs>
    <ds:schemaRef ds:uri="http://schemas.openxmlformats.org/officeDocument/2006/bibliography"/>
  </ds:schemaRefs>
</ds:datastoreItem>
</file>

<file path=customXml/itemProps2.xml><?xml version="1.0" encoding="utf-8"?>
<ds:datastoreItem xmlns:ds="http://schemas.openxmlformats.org/officeDocument/2006/customXml" ds:itemID="{0FE88466-D766-4FF9-8A4D-103DEEB4E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6A0E1-733A-466D-BA5A-DA78B80C2A86}">
  <ds:schemaRefs>
    <ds:schemaRef ds:uri="http://schemas.microsoft.com/sharepoint/v3/contenttype/forms"/>
  </ds:schemaRefs>
</ds:datastoreItem>
</file>

<file path=customXml/itemProps4.xml><?xml version="1.0" encoding="utf-8"?>
<ds:datastoreItem xmlns:ds="http://schemas.openxmlformats.org/officeDocument/2006/customXml" ds:itemID="{2F8868B5-DC4A-4654-A994-08D4F09B178A}">
  <ds:schemaRefs>
    <ds:schemaRef ds:uri="http://schemas.openxmlformats.org/package/2006/metadata/core-properties"/>
    <ds:schemaRef ds:uri="http://purl.org/dc/elements/1.1/"/>
    <ds:schemaRef ds:uri="http://purl.org/dc/terms/"/>
    <ds:schemaRef ds:uri="http://schemas.microsoft.com/office/2006/metadata/properties"/>
    <ds:schemaRef ds:uri="ecf15794-1c34-4b37-a3c8-0e782a84561c"/>
    <ds:schemaRef ds:uri="http://schemas.microsoft.com/office/infopath/2007/PartnerControls"/>
    <ds:schemaRef ds:uri="http://purl.org/dc/dcmitype/"/>
    <ds:schemaRef ds:uri="http://schemas.microsoft.com/office/2006/documentManagement/types"/>
    <ds:schemaRef ds:uri="cf7c53e0-8330-4aac-bdbf-6fe5928d1c7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5541</Words>
  <Characters>31584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2024-05-10T16:08:00Z</dcterms:created>
  <dcterms:modified xsi:type="dcterms:W3CDTF">2024-05-10T16:08:00Z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